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65" w:rsidRPr="007C5769" w:rsidRDefault="00C8456B" w:rsidP="00573388">
      <w:pPr>
        <w:pStyle w:val="Nadpis1"/>
        <w:rPr>
          <w:rFonts w:cs="Arial"/>
          <w:sz w:val="28"/>
          <w:szCs w:val="28"/>
        </w:rPr>
      </w:pPr>
      <w:r w:rsidRPr="007C5769">
        <w:rPr>
          <w:rFonts w:cs="Arial"/>
          <w:sz w:val="28"/>
          <w:szCs w:val="28"/>
        </w:rPr>
        <w:t>Informace ze Soci</w:t>
      </w:r>
      <w:r w:rsidR="00D32FE3" w:rsidRPr="007C5769">
        <w:rPr>
          <w:rFonts w:cs="Arial"/>
          <w:sz w:val="28"/>
          <w:szCs w:val="28"/>
        </w:rPr>
        <w:t xml:space="preserve">álně-právní poradny </w:t>
      </w:r>
      <w:r w:rsidR="00B27483">
        <w:rPr>
          <w:rFonts w:cs="Arial"/>
          <w:sz w:val="28"/>
          <w:szCs w:val="28"/>
        </w:rPr>
        <w:t>10</w:t>
      </w:r>
      <w:r w:rsidR="00D32FE3" w:rsidRPr="007C5769">
        <w:rPr>
          <w:rFonts w:cs="Arial"/>
          <w:sz w:val="28"/>
          <w:szCs w:val="28"/>
        </w:rPr>
        <w:t>/2022</w:t>
      </w:r>
    </w:p>
    <w:p w:rsidR="007C22F9" w:rsidRDefault="009A40B7" w:rsidP="00573388">
      <w:r>
        <w:tab/>
      </w:r>
    </w:p>
    <w:p w:rsidR="00C32118" w:rsidRPr="00C32118" w:rsidRDefault="00C32118" w:rsidP="00C32118">
      <w:pPr>
        <w:jc w:val="both"/>
        <w:rPr>
          <w:bCs/>
        </w:rPr>
      </w:pPr>
      <w:r>
        <w:t xml:space="preserve">V tomto dílu </w:t>
      </w:r>
      <w:r w:rsidR="00605A2A">
        <w:t>informujeme</w:t>
      </w:r>
      <w:r>
        <w:t xml:space="preserve"> o tzv. slepecké zásilce, dále </w:t>
      </w:r>
      <w:r w:rsidR="00605A2A">
        <w:t xml:space="preserve">o </w:t>
      </w:r>
      <w:r>
        <w:t xml:space="preserve">situaci, kdy zaměstnanec nemůže dále konat dosavadní práci ze zdravotních důvodů, zmíníme se o </w:t>
      </w:r>
      <w:r w:rsidRPr="00C32118">
        <w:rPr>
          <w:bCs/>
        </w:rPr>
        <w:t xml:space="preserve">rozdílném postavení nájemce a podnájemce </w:t>
      </w:r>
      <w:r w:rsidR="00122523">
        <w:rPr>
          <w:bCs/>
        </w:rPr>
        <w:t xml:space="preserve">bytu </w:t>
      </w:r>
      <w:r w:rsidR="00605A2A">
        <w:rPr>
          <w:bCs/>
        </w:rPr>
        <w:t>při</w:t>
      </w:r>
      <w:r w:rsidRPr="00C32118">
        <w:rPr>
          <w:bCs/>
        </w:rPr>
        <w:t xml:space="preserve"> automatick</w:t>
      </w:r>
      <w:r w:rsidR="00605A2A">
        <w:rPr>
          <w:bCs/>
        </w:rPr>
        <w:t>ém</w:t>
      </w:r>
      <w:r w:rsidR="00122523">
        <w:rPr>
          <w:bCs/>
        </w:rPr>
        <w:t xml:space="preserve"> obnovení smluv na dobu určitou</w:t>
      </w:r>
      <w:r w:rsidR="0044392E">
        <w:rPr>
          <w:bCs/>
        </w:rPr>
        <w:t>,</w:t>
      </w:r>
      <w:r w:rsidR="00122523">
        <w:rPr>
          <w:bCs/>
        </w:rPr>
        <w:t xml:space="preserve"> </w:t>
      </w:r>
      <w:r w:rsidRPr="00605A2A">
        <w:rPr>
          <w:bCs/>
        </w:rPr>
        <w:t>a nakonec</w:t>
      </w:r>
      <w:r>
        <w:rPr>
          <w:bCs/>
        </w:rPr>
        <w:t xml:space="preserve"> </w:t>
      </w:r>
      <w:r w:rsidR="00605A2A">
        <w:rPr>
          <w:bCs/>
        </w:rPr>
        <w:t xml:space="preserve">krátce nahlédneme do starověku. </w:t>
      </w:r>
    </w:p>
    <w:p w:rsidR="009810FD" w:rsidRPr="009810FD" w:rsidRDefault="00C32118" w:rsidP="0044392E">
      <w:pPr>
        <w:pStyle w:val="Nadpis2"/>
      </w:pPr>
      <w:r>
        <w:t xml:space="preserve">Slepecká zásilka </w:t>
      </w:r>
    </w:p>
    <w:p w:rsidR="009810FD" w:rsidRPr="009810FD" w:rsidRDefault="009810FD" w:rsidP="009810FD">
      <w:pPr>
        <w:jc w:val="both"/>
      </w:pPr>
      <w:r w:rsidRPr="009810FD">
        <w:t xml:space="preserve">je služba v nabídce České pošty, někteří z Vás se na nás obrací s dotazy, co vše lze prostřednictvím slepecké zásilky odesílat, proto jsme se rozhodli poskytnout Vám o této službě stručný přehled. </w:t>
      </w:r>
    </w:p>
    <w:p w:rsidR="009810FD" w:rsidRPr="009810FD" w:rsidRDefault="009810FD" w:rsidP="009810FD">
      <w:pPr>
        <w:jc w:val="both"/>
      </w:pPr>
      <w:r w:rsidRPr="009810FD">
        <w:t xml:space="preserve">Jedná se o službu, která je určena k přepravě písemností pořízených v Braillově písmu nebo zvukových záznamů pro osobní potřebu člověka s těžkým zrakovým postižením. Rovněž musí být splněna podmínka, že odesílatelem nebo adresátem zásilky je člověk s těžkým zrakovým postižením nebo zařízení pro lidi s těžkým zrakovým postižením. </w:t>
      </w:r>
    </w:p>
    <w:p w:rsidR="009810FD" w:rsidRPr="009810FD" w:rsidRDefault="009810FD" w:rsidP="009810FD">
      <w:pPr>
        <w:jc w:val="both"/>
      </w:pPr>
      <w:r w:rsidRPr="009810FD">
        <w:t xml:space="preserve">Co vše je tedy možné zasílat prostřednictvím slepecké zásilky? </w:t>
      </w:r>
    </w:p>
    <w:p w:rsidR="009810FD" w:rsidRPr="009810FD" w:rsidRDefault="009810FD" w:rsidP="009810FD">
      <w:pPr>
        <w:jc w:val="both"/>
      </w:pPr>
      <w:r w:rsidRPr="009810FD">
        <w:t xml:space="preserve">Jednak písemnosti pořízené v Braillově písmu, dále také zvláštní papíry pro potřebu lidí s těžkým zrakovým postižením, jestliže je odesílatel zařízení pro lidi s těžkým zrakovým postižením (například tedy situace, kdy Vám zasíláme ze Sociálně právní poradny SONS text odvolání či vyplněnou žádost o některou z dávek pro osoby se zdravotním postižením.) A jak už bylo uvedeno výše, prostřednictvím slepecké zásilky lze posílat zvukové záznamy pro osobní potřebu lidí s těžkým zrakovým postižením (tohoto je hojně využíváno v případě zasílání zvukových nosičů z Knihovny pro nevidomé a slabozraké K. E. </w:t>
      </w:r>
      <w:proofErr w:type="spellStart"/>
      <w:r w:rsidRPr="009810FD">
        <w:t>Macana</w:t>
      </w:r>
      <w:proofErr w:type="spellEnd"/>
      <w:r w:rsidRPr="009810FD">
        <w:t>). V neposlední řadě mohou být prostřednictvím slepecké zásilky odesílány jiné věci upravené pro potřebu lidí s těžkým zrakovým postižením (například tedy různé speciální pomůcky).</w:t>
      </w:r>
    </w:p>
    <w:p w:rsidR="009810FD" w:rsidRPr="009810FD" w:rsidRDefault="009810FD" w:rsidP="009810FD">
      <w:pPr>
        <w:jc w:val="both"/>
      </w:pPr>
      <w:r w:rsidRPr="009810FD">
        <w:t xml:space="preserve">Zásilka nesmí být těžší než 7 kg, její minimální rozměry musí být alespoň 9 x 14 cm, maximální délka jedné strany nesmí přesáhnout 60 cm a součet všech tří rozměrů nesmí přesáhnout 90 cm. </w:t>
      </w:r>
    </w:p>
    <w:p w:rsidR="009810FD" w:rsidRPr="009810FD" w:rsidRDefault="009810FD" w:rsidP="009810FD">
      <w:pPr>
        <w:jc w:val="both"/>
      </w:pPr>
      <w:r w:rsidRPr="009810FD">
        <w:t xml:space="preserve">Odeslání zásilky je osvobozeno od veškerých poplatků. </w:t>
      </w:r>
    </w:p>
    <w:p w:rsidR="009810FD" w:rsidRPr="009810FD" w:rsidRDefault="009810FD" w:rsidP="009810FD">
      <w:pPr>
        <w:jc w:val="both"/>
      </w:pPr>
      <w:r w:rsidRPr="009810FD">
        <w:t xml:space="preserve">Podání slepecké zásilky lze uskutečnit na kterékoliv pobočce České pošty nebo u pověřených pracovníků pošt. Zásilku je vhodné v pravém horním rohu opatřit nálepkou nebo poznámkou </w:t>
      </w:r>
      <w:r w:rsidR="0044392E">
        <w:t>„</w:t>
      </w:r>
      <w:r w:rsidRPr="009810FD">
        <w:t>Slepecká zásilka</w:t>
      </w:r>
      <w:r w:rsidR="0044392E">
        <w:t>“</w:t>
      </w:r>
      <w:r w:rsidRPr="009810FD">
        <w:t>, samolepku s tímto textem obdržíte zdarma na každé pobočce České pošty. V levé části zásilky musí být uvedena adresa odesílatele. Zásilka by měla být zabalena tak, aby z ní bylo poznat, co je zasíláno – např. Braillovo písmo se pozná hmatem, zvukové záznamy jsou zasílány ve speciálních textilních vacích na suchý zip.</w:t>
      </w:r>
    </w:p>
    <w:p w:rsidR="009810FD" w:rsidRPr="009810FD" w:rsidRDefault="009810FD" w:rsidP="009810FD">
      <w:pPr>
        <w:jc w:val="both"/>
      </w:pPr>
      <w:r w:rsidRPr="009810FD">
        <w:t xml:space="preserve">Závěrem je důležité upozornit na skutečnost, že Česká pošta neodpovídá za škodu vzniklou ztrátou, poškozením nebo úbytkem obsahu obyčejné slepecké zásilky. </w:t>
      </w:r>
    </w:p>
    <w:p w:rsidR="009810FD" w:rsidRPr="009810FD" w:rsidRDefault="009810FD" w:rsidP="009810FD">
      <w:pPr>
        <w:jc w:val="both"/>
      </w:pPr>
      <w:r w:rsidRPr="009810FD">
        <w:t xml:space="preserve">Výše uvedené věci lze za splnění výše uvedených podmínek rovněž zdarma zaslat prostřednictvím doporučené slepecké zásilky. Výhodou tohoto způsobu doručování je, že lze odeslanou zásilku sledovat na webových stránkách pošty nebo prostřednictvím aplikace, předání zásilky probíhá proti potvrzení převzetí (poštovnímu doručovateli adresát při převzetí podepíše dodejku). Pošta rovněž odpovídá za případnou ztrátu, poškození nebo úbytek. </w:t>
      </w:r>
    </w:p>
    <w:p w:rsidR="009810FD" w:rsidRPr="009810FD" w:rsidRDefault="009810FD" w:rsidP="009810FD">
      <w:pPr>
        <w:jc w:val="both"/>
      </w:pPr>
      <w:r w:rsidRPr="009810FD">
        <w:lastRenderedPageBreak/>
        <w:t xml:space="preserve">Služby doporučené slepecké zásilky lze využít například v případě, kdy je odesíláno něco pro potřeby člověka s těžkým zrakovým postižením nebo organizaci zastupující lidi s těžkým zrakovým postižením na dobírku. </w:t>
      </w:r>
    </w:p>
    <w:p w:rsidR="00B17FD1" w:rsidRDefault="009810FD" w:rsidP="00B17FD1">
      <w:pPr>
        <w:spacing w:after="0"/>
        <w:jc w:val="both"/>
      </w:pPr>
      <w:r w:rsidRPr="009810FD">
        <w:t>Podání doporučené slepecké zásilky probíhá stejně jako u běžné slepecké zásilky, navíc je však potřeba, aby odesílatel předal podací data on-line prostřednictvím aplikací Poslat zásilku, Podání Online, či přes API rozhraní, případně vyplnil podle předtisku </w:t>
      </w:r>
      <w:r w:rsidR="00B17FD1" w:rsidRPr="009810FD">
        <w:t>v </w:t>
      </w:r>
      <w:r w:rsidR="00B17FD1">
        <w:t>elektronické či papírové podobě:</w:t>
      </w:r>
    </w:p>
    <w:p w:rsidR="00605A2A" w:rsidRDefault="0044392E" w:rsidP="00605A2A">
      <w:pPr>
        <w:spacing w:after="0"/>
        <w:jc w:val="both"/>
      </w:pPr>
      <w:hyperlink r:id="rId8" w:history="1">
        <w:r w:rsidR="009810FD" w:rsidRPr="009810FD">
          <w:rPr>
            <w:rStyle w:val="Hypertextovodkaz"/>
          </w:rPr>
          <w:t>podací lístek nebo podací arch</w:t>
        </w:r>
      </w:hyperlink>
      <w:r w:rsidR="009810FD" w:rsidRPr="009810FD">
        <w:t> </w:t>
      </w:r>
      <w:r w:rsidR="00605A2A">
        <w:t xml:space="preserve"> </w:t>
      </w:r>
    </w:p>
    <w:p w:rsidR="009810FD" w:rsidRPr="009810FD" w:rsidRDefault="009810FD" w:rsidP="009810FD">
      <w:pPr>
        <w:jc w:val="both"/>
      </w:pPr>
      <w:r w:rsidRPr="009810FD">
        <w:t xml:space="preserve">Veškeré další informace k doporučené slepecké zásilce se můžete dočíst na webových stránkách: </w:t>
      </w:r>
      <w:hyperlink r:id="rId9" w:history="1">
        <w:r w:rsidRPr="009810FD">
          <w:rPr>
            <w:rStyle w:val="Hypertextovodkaz"/>
          </w:rPr>
          <w:t>https://www.ceskaposta.cz/sluzby/psani/cr/doporucena-slepecka-zasilka</w:t>
        </w:r>
      </w:hyperlink>
      <w:r w:rsidRPr="009810FD">
        <w:t xml:space="preserve">. </w:t>
      </w:r>
    </w:p>
    <w:p w:rsidR="00A2100D" w:rsidRPr="009810FD" w:rsidRDefault="00A2100D" w:rsidP="0044392E">
      <w:pPr>
        <w:pStyle w:val="Nadpis2"/>
      </w:pPr>
      <w:r w:rsidRPr="009810FD">
        <w:t xml:space="preserve">Zaměstnavatel versus zaměstnanec, který </w:t>
      </w:r>
      <w:r w:rsidR="00E01992" w:rsidRPr="009810FD">
        <w:t xml:space="preserve">ze zdravotních důvodů </w:t>
      </w:r>
      <w:r w:rsidRPr="009810FD">
        <w:t xml:space="preserve">nemůže dále konat </w:t>
      </w:r>
      <w:r w:rsidR="00136903" w:rsidRPr="009810FD">
        <w:t>dosavadní</w:t>
      </w:r>
      <w:r w:rsidRPr="009810FD">
        <w:t xml:space="preserve"> práci </w:t>
      </w:r>
    </w:p>
    <w:p w:rsidR="0070730C" w:rsidRDefault="00A2100D" w:rsidP="003300FF">
      <w:pPr>
        <w:jc w:val="both"/>
      </w:pPr>
      <w:r w:rsidRPr="00A2100D">
        <w:t>V</w:t>
      </w:r>
      <w:r w:rsidR="00C32118">
        <w:t> této části</w:t>
      </w:r>
      <w:r w:rsidR="00117CF1">
        <w:t xml:space="preserve"> popíšu aktuální případ tazatele</w:t>
      </w:r>
      <w:r>
        <w:t xml:space="preserve">, který </w:t>
      </w:r>
      <w:r w:rsidR="00054A90">
        <w:t xml:space="preserve">je zaměstnancem </w:t>
      </w:r>
      <w:r>
        <w:t xml:space="preserve">v běžném pracovním poměru na dobu neurčitou. </w:t>
      </w:r>
      <w:r w:rsidR="00205C71">
        <w:t xml:space="preserve">Podle nedávného lékařského posudku o zdravotní </w:t>
      </w:r>
      <w:r w:rsidR="00E01992">
        <w:t xml:space="preserve">způsobilosti </w:t>
      </w:r>
      <w:r w:rsidR="00117CF1">
        <w:t>„</w:t>
      </w:r>
      <w:r w:rsidR="00205C71">
        <w:t xml:space="preserve">pozbyl dlouhodobě </w:t>
      </w:r>
      <w:r w:rsidR="00117CF1">
        <w:t xml:space="preserve">zdravotní způsobilost“ </w:t>
      </w:r>
      <w:r w:rsidR="00205C71">
        <w:t>konat sjednanou práci. Zaměstnavatel</w:t>
      </w:r>
      <w:r w:rsidR="008C3644">
        <w:t xml:space="preserve"> mu </w:t>
      </w:r>
      <w:r w:rsidR="00205C71">
        <w:t>obratem doručil výpověď z pracovního poměru podle § 52 písm. e) zákoníku práce (ZP</w:t>
      </w:r>
      <w:r w:rsidR="00E01992">
        <w:t xml:space="preserve">), který je dán, </w:t>
      </w:r>
      <w:r w:rsidR="00054A90">
        <w:t>„</w:t>
      </w:r>
      <w:r w:rsidR="00E01992" w:rsidRPr="00E01992">
        <w:t>pozbyl-li zaměstnanec vzhledem ke svému zdravotnímu stavu podle lékařského posudku vydaného poskytovatelem pracovně</w:t>
      </w:r>
      <w:r w:rsidR="004021B4">
        <w:t>-</w:t>
      </w:r>
      <w:r w:rsidR="00E01992" w:rsidRPr="00E01992">
        <w:t>lékařských služeb nebo rozhodnutí příslušného správního orgánu, který lékařský posudek přezkoumává, d</w:t>
      </w:r>
      <w:r w:rsidR="00E01992">
        <w:t>louhodobě zdravotní způsobilost“. Dále mu zaměstnavatel z pochopitelných důvodů přesta</w:t>
      </w:r>
      <w:r w:rsidR="0070730C">
        <w:t xml:space="preserve">l přidělovat dosavadní </w:t>
      </w:r>
      <w:r w:rsidR="00136903">
        <w:t>práci, ale na jinou práci ho nepřevedl, ačkoliv mu to ukládá § 41 odst.</w:t>
      </w:r>
      <w:r w:rsidR="00117CF1">
        <w:t xml:space="preserve"> </w:t>
      </w:r>
      <w:r w:rsidR="00136903">
        <w:t xml:space="preserve">1 písm. a) ZP. Kromě toho zaměstnavatel zaměstnanci sdělil, že se nejedná o </w:t>
      </w:r>
      <w:r w:rsidR="00054A90">
        <w:t xml:space="preserve">tzv. jinou </w:t>
      </w:r>
      <w:r w:rsidR="00136903">
        <w:t xml:space="preserve">překážku v práci na straně zaměstnavatele </w:t>
      </w:r>
      <w:r w:rsidR="00054A90">
        <w:t xml:space="preserve">podle § 208 ZP a nenáleží mu tak náhrada mzdy. Své stanovisko zaměstnavatel odůvodnil </w:t>
      </w:r>
      <w:r w:rsidR="00085F64">
        <w:t>ustálenou rozhodovací praxí</w:t>
      </w:r>
      <w:r w:rsidR="00054A90">
        <w:t xml:space="preserve"> N</w:t>
      </w:r>
      <w:r w:rsidR="00322AB6">
        <w:t>ejvyššího soudu</w:t>
      </w:r>
      <w:r w:rsidR="00085F64">
        <w:t xml:space="preserve">. </w:t>
      </w:r>
    </w:p>
    <w:p w:rsidR="000A06F8" w:rsidRDefault="00085F64" w:rsidP="003300FF">
      <w:pPr>
        <w:jc w:val="both"/>
        <w:rPr>
          <w:bCs/>
        </w:rPr>
      </w:pPr>
      <w:r>
        <w:t>Správnost postupu zaměstnavatele bylo třeba ověřit a je pravd</w:t>
      </w:r>
      <w:r w:rsidR="00834E9D">
        <w:t>a</w:t>
      </w:r>
      <w:r>
        <w:t xml:space="preserve">, že například poslední </w:t>
      </w:r>
      <w:proofErr w:type="gramStart"/>
      <w:r>
        <w:t xml:space="preserve">rozhodnutí </w:t>
      </w:r>
      <w:r w:rsidR="00054A90" w:rsidRPr="00054A90">
        <w:t xml:space="preserve"> </w:t>
      </w:r>
      <w:r w:rsidRPr="00085F64">
        <w:rPr>
          <w:bCs/>
        </w:rPr>
        <w:t>21</w:t>
      </w:r>
      <w:proofErr w:type="gramEnd"/>
      <w:r w:rsidRPr="00085F64">
        <w:rPr>
          <w:bCs/>
        </w:rPr>
        <w:t xml:space="preserve"> </w:t>
      </w:r>
      <w:proofErr w:type="spellStart"/>
      <w:r w:rsidRPr="00085F64">
        <w:rPr>
          <w:bCs/>
        </w:rPr>
        <w:t>Cdo</w:t>
      </w:r>
      <w:proofErr w:type="spellEnd"/>
      <w:r w:rsidRPr="00085F64">
        <w:rPr>
          <w:bCs/>
        </w:rPr>
        <w:t xml:space="preserve"> 1645/2020</w:t>
      </w:r>
      <w:r w:rsidR="00117CF1">
        <w:rPr>
          <w:bCs/>
        </w:rPr>
        <w:t xml:space="preserve"> z roku </w:t>
      </w:r>
      <w:r>
        <w:rPr>
          <w:bCs/>
        </w:rPr>
        <w:t xml:space="preserve">2020 a </w:t>
      </w:r>
      <w:r w:rsidRPr="00085F64">
        <w:rPr>
          <w:bCs/>
        </w:rPr>
        <w:t xml:space="preserve">21 </w:t>
      </w:r>
      <w:proofErr w:type="spellStart"/>
      <w:r w:rsidRPr="00085F64">
        <w:rPr>
          <w:bCs/>
        </w:rPr>
        <w:t>Cdo</w:t>
      </w:r>
      <w:proofErr w:type="spellEnd"/>
      <w:r w:rsidRPr="00085F64">
        <w:rPr>
          <w:bCs/>
        </w:rPr>
        <w:t xml:space="preserve"> 1334/2021</w:t>
      </w:r>
      <w:r>
        <w:rPr>
          <w:bCs/>
        </w:rPr>
        <w:t xml:space="preserve"> </w:t>
      </w:r>
      <w:r w:rsidR="00117CF1">
        <w:rPr>
          <w:bCs/>
        </w:rPr>
        <w:t xml:space="preserve">z roku </w:t>
      </w:r>
      <w:r w:rsidRPr="00085F64">
        <w:rPr>
          <w:bCs/>
        </w:rPr>
        <w:t>2022</w:t>
      </w:r>
      <w:r>
        <w:rPr>
          <w:bCs/>
        </w:rPr>
        <w:t xml:space="preserve"> ho </w:t>
      </w:r>
      <w:r w:rsidR="0070730C">
        <w:rPr>
          <w:bCs/>
        </w:rPr>
        <w:t xml:space="preserve">opakovaně </w:t>
      </w:r>
      <w:r>
        <w:rPr>
          <w:bCs/>
        </w:rPr>
        <w:t xml:space="preserve">potvrzují. </w:t>
      </w:r>
      <w:r w:rsidR="00834E9D">
        <w:rPr>
          <w:bCs/>
        </w:rPr>
        <w:t xml:space="preserve">Zásadní argument </w:t>
      </w:r>
      <w:r w:rsidR="00834E9D" w:rsidRPr="00834E9D">
        <w:rPr>
          <w:bCs/>
        </w:rPr>
        <w:t xml:space="preserve">Nejvyššího soudu je, že pro vznik nároku na náhradu mzdy </w:t>
      </w:r>
      <w:r w:rsidR="00834E9D">
        <w:rPr>
          <w:bCs/>
        </w:rPr>
        <w:t>při překážce na straně zaměstnavatele</w:t>
      </w:r>
      <w:r w:rsidR="000A06F8">
        <w:rPr>
          <w:bCs/>
        </w:rPr>
        <w:t xml:space="preserve">, </w:t>
      </w:r>
      <w:r w:rsidR="00834E9D">
        <w:rPr>
          <w:bCs/>
        </w:rPr>
        <w:t>spočívající v nepřidělování sjednané práce</w:t>
      </w:r>
      <w:r w:rsidR="000A06F8">
        <w:rPr>
          <w:bCs/>
        </w:rPr>
        <w:t>,</w:t>
      </w:r>
      <w:r w:rsidR="00834E9D">
        <w:rPr>
          <w:bCs/>
        </w:rPr>
        <w:t xml:space="preserve"> </w:t>
      </w:r>
      <w:r w:rsidR="00834E9D" w:rsidRPr="00834E9D">
        <w:rPr>
          <w:bCs/>
        </w:rPr>
        <w:t xml:space="preserve">musí být zaměstnanec </w:t>
      </w:r>
      <w:r w:rsidR="00834E9D" w:rsidRPr="00834E9D">
        <w:rPr>
          <w:b/>
          <w:bCs/>
        </w:rPr>
        <w:t>schopen a připraven</w:t>
      </w:r>
      <w:r w:rsidR="0070730C">
        <w:rPr>
          <w:bCs/>
        </w:rPr>
        <w:t xml:space="preserve"> </w:t>
      </w:r>
      <w:r w:rsidR="00834E9D" w:rsidRPr="00834E9D">
        <w:rPr>
          <w:bCs/>
        </w:rPr>
        <w:t xml:space="preserve">práci konat. </w:t>
      </w:r>
      <w:r w:rsidR="000A06F8">
        <w:rPr>
          <w:bCs/>
        </w:rPr>
        <w:t xml:space="preserve">Doslova soud v posledním rozhodnutí uvádí: </w:t>
      </w:r>
    </w:p>
    <w:p w:rsidR="000A06F8" w:rsidRDefault="000A06F8" w:rsidP="000A06F8">
      <w:pPr>
        <w:jc w:val="both"/>
        <w:rPr>
          <w:bCs/>
        </w:rPr>
      </w:pPr>
      <w:r w:rsidRPr="000A06F8">
        <w:rPr>
          <w:bCs/>
        </w:rPr>
        <w:t xml:space="preserve">„Soudní praxe dlouhodobě zastává názor, že o překážku v práci ve smyslu ustanovení § 208 zák. práce jde tehdy, neplní-li nebo nemůže-li zaměstnavatel plnit povinnost vyplývající pro něj z pracovního poměru přidělovat zaměstnanci práci podle pracovní smlouvy [§ 38 odst. 1 písm. a) zák. práce], a to za předpokladu, že zaměstnanec je schopen a připraven tuto práci konat; o překážku v práci jde bez ohledu na to, zda nemožnost přidělovat práci byla způsobena objektivní skutečností, popřípadě náhodou, která se zaměstnavateli přihodila, nebo zda ji zaměstnavatel sám svým jednáním způsobil (případné zavinění zaměstnavatele zde rovněž nemá význam). Náhrada mzdy (platu) podle ustanovení § 208 zák. práce má tedy charakter ekvivalentu mzdy (platu), kterou si zaměstnanec nemohl vydělat v důsledku toho, že mu zaměstnavatel v rozporu s ustanovením § 38 odst. 1 písm. a) zák. práce neumožnil konat práci, k níž se zavázal podle pracovní smlouvy; zákon tímto způsobem sleduje, aby zaměstnanci byla reparována újma, kterou utrpěl následkem protiprávního postupu zaměstnavatele. Ke ztrátě na výdělku následkem nesplnění povinnosti zaměstnavatele přidělovat zaměstnanci práci podle pracovní smlouvy ovšem může u zaměstnance dojít jen tehdy, je-li sám připraven, ochoten a schopen konat práci podle pracovní smlouvy. Nemůže-li zaměstnanec konat práci podle pracovní smlouvy, nemá nárok ani na náhradu mzdy (platu) podle ustanovení § 208 zák. práce. Příčina toho, proč zaměstnanec nemůže v rozhodném období konat práci pro zaměstnavatele, totiž nespočívá v tom, že by zaměstnavatel v rozporu s </w:t>
      </w:r>
      <w:r w:rsidRPr="000A06F8">
        <w:rPr>
          <w:bCs/>
        </w:rPr>
        <w:lastRenderedPageBreak/>
        <w:t>ustanovením § 38 odst. 1 písm. a) zák. práce nepřiděloval (nemohl přidělovat) zaměstnanci práci podle pracovní smlouvy</w:t>
      </w:r>
      <w:r>
        <w:rPr>
          <w:bCs/>
        </w:rPr>
        <w:t>.“</w:t>
      </w:r>
      <w:r w:rsidRPr="000A06F8">
        <w:rPr>
          <w:bCs/>
        </w:rPr>
        <w:t xml:space="preserve"> </w:t>
      </w:r>
    </w:p>
    <w:p w:rsidR="0073120C" w:rsidRDefault="0073120C" w:rsidP="003300FF">
      <w:pPr>
        <w:jc w:val="both"/>
        <w:rPr>
          <w:bCs/>
        </w:rPr>
      </w:pPr>
      <w:r>
        <w:rPr>
          <w:bCs/>
        </w:rPr>
        <w:t>Z</w:t>
      </w:r>
      <w:r w:rsidRPr="0073120C">
        <w:rPr>
          <w:bCs/>
        </w:rPr>
        <w:t xml:space="preserve">a současného stavu </w:t>
      </w:r>
      <w:r>
        <w:rPr>
          <w:bCs/>
        </w:rPr>
        <w:t>judikatury</w:t>
      </w:r>
      <w:r w:rsidRPr="0073120C">
        <w:rPr>
          <w:bCs/>
        </w:rPr>
        <w:t> a vzhledem k tomu, že zákoník práci tuto situaci výslovn</w:t>
      </w:r>
      <w:r>
        <w:rPr>
          <w:bCs/>
        </w:rPr>
        <w:t xml:space="preserve">ě neřeší jinak, je tedy </w:t>
      </w:r>
      <w:r w:rsidRPr="0073120C">
        <w:rPr>
          <w:bCs/>
        </w:rPr>
        <w:t xml:space="preserve">skutečně třeba vycházet z toho, že se u nezpůsobilosti vykonávat sjednanou práci ze zdravotních důvodů nejedná o překážku v práci na straně zaměstnavatele. </w:t>
      </w:r>
      <w:r>
        <w:rPr>
          <w:bCs/>
        </w:rPr>
        <w:t xml:space="preserve">Nezpůsobilost </w:t>
      </w:r>
      <w:r w:rsidRPr="0073120C">
        <w:rPr>
          <w:bCs/>
        </w:rPr>
        <w:t xml:space="preserve">vykonávat sjednanou </w:t>
      </w:r>
      <w:r w:rsidR="00AD4AA0">
        <w:rPr>
          <w:bCs/>
        </w:rPr>
        <w:t xml:space="preserve">práci ze zdravotních důvodů </w:t>
      </w:r>
      <w:r w:rsidRPr="0073120C">
        <w:rPr>
          <w:bCs/>
        </w:rPr>
        <w:t>ani</w:t>
      </w:r>
      <w:r>
        <w:rPr>
          <w:bCs/>
        </w:rPr>
        <w:t xml:space="preserve"> není </w:t>
      </w:r>
      <w:r w:rsidRPr="0073120C">
        <w:rPr>
          <w:bCs/>
        </w:rPr>
        <w:t>vypočtena v okruhu překážek v práci na straně zaměstnance v ustanovení</w:t>
      </w:r>
      <w:r>
        <w:rPr>
          <w:bCs/>
        </w:rPr>
        <w:t>ch</w:t>
      </w:r>
      <w:r w:rsidRPr="0073120C">
        <w:rPr>
          <w:bCs/>
        </w:rPr>
        <w:t xml:space="preserve"> § 191 a § 199 odst.</w:t>
      </w:r>
      <w:r w:rsidR="00D246F0">
        <w:rPr>
          <w:bCs/>
        </w:rPr>
        <w:t xml:space="preserve"> </w:t>
      </w:r>
      <w:r w:rsidRPr="0073120C">
        <w:rPr>
          <w:bCs/>
        </w:rPr>
        <w:t xml:space="preserve">1, 2 </w:t>
      </w:r>
      <w:r w:rsidR="00D77B58">
        <w:rPr>
          <w:bCs/>
        </w:rPr>
        <w:t xml:space="preserve">ZP </w:t>
      </w:r>
      <w:r w:rsidRPr="0073120C">
        <w:rPr>
          <w:bCs/>
        </w:rPr>
        <w:t>a na něj navazující</w:t>
      </w:r>
      <w:r>
        <w:rPr>
          <w:bCs/>
        </w:rPr>
        <w:t>m</w:t>
      </w:r>
      <w:r w:rsidRPr="0073120C">
        <w:rPr>
          <w:bCs/>
        </w:rPr>
        <w:t xml:space="preserve"> nařízení vlády 590/2006 Sb.</w:t>
      </w:r>
      <w:r>
        <w:rPr>
          <w:bCs/>
        </w:rPr>
        <w:t xml:space="preserve"> Odstupné </w:t>
      </w:r>
      <w:r w:rsidR="001E5B7F">
        <w:rPr>
          <w:bCs/>
        </w:rPr>
        <w:t xml:space="preserve">podle § 67 odst. 2 ZP </w:t>
      </w:r>
      <w:r w:rsidR="007B5D60">
        <w:rPr>
          <w:bCs/>
        </w:rPr>
        <w:t xml:space="preserve">zaměstnanci </w:t>
      </w:r>
      <w:r>
        <w:rPr>
          <w:bCs/>
        </w:rPr>
        <w:t xml:space="preserve">také </w:t>
      </w:r>
      <w:r w:rsidRPr="0073120C">
        <w:rPr>
          <w:bCs/>
        </w:rPr>
        <w:t>nenáleží, protože nejde o nezpůsobilost konat práci v důsledku pracovního úrazu nebo nemoci z povolání.</w:t>
      </w:r>
    </w:p>
    <w:p w:rsidR="0073120C" w:rsidRPr="0073120C" w:rsidRDefault="003300FF" w:rsidP="003300FF">
      <w:pPr>
        <w:jc w:val="both"/>
        <w:rPr>
          <w:bCs/>
        </w:rPr>
      </w:pPr>
      <w:r>
        <w:rPr>
          <w:bCs/>
        </w:rPr>
        <w:t xml:space="preserve">Tato situace má </w:t>
      </w:r>
      <w:r w:rsidR="0073120C">
        <w:rPr>
          <w:bCs/>
        </w:rPr>
        <w:t xml:space="preserve">řešení. </w:t>
      </w:r>
      <w:r w:rsidR="002F3B67">
        <w:rPr>
          <w:bCs/>
        </w:rPr>
        <w:t xml:space="preserve">Zaměstnavatel zaměstnanci neumožnil </w:t>
      </w:r>
      <w:r w:rsidR="002F3B67" w:rsidRPr="00D246F0">
        <w:rPr>
          <w:bCs/>
        </w:rPr>
        <w:t>výkon jiné pro něho vhodné práce</w:t>
      </w:r>
      <w:r w:rsidR="002F3B67">
        <w:rPr>
          <w:bCs/>
        </w:rPr>
        <w:t xml:space="preserve">. </w:t>
      </w:r>
      <w:r w:rsidR="00732274">
        <w:rPr>
          <w:bCs/>
        </w:rPr>
        <w:t>Zaměstnanec sice d</w:t>
      </w:r>
      <w:r w:rsidR="002F3B67">
        <w:rPr>
          <w:bCs/>
        </w:rPr>
        <w:t>ostal od zaměstnavatele výpověď, ale jeho p</w:t>
      </w:r>
      <w:r w:rsidR="0073120C">
        <w:rPr>
          <w:bCs/>
        </w:rPr>
        <w:t xml:space="preserve">racovní poměr skončí až uplynutím </w:t>
      </w:r>
      <w:r w:rsidR="00D246F0">
        <w:rPr>
          <w:bCs/>
        </w:rPr>
        <w:t xml:space="preserve">dvouměsíční </w:t>
      </w:r>
      <w:r w:rsidR="0073120C" w:rsidRPr="0073120C">
        <w:rPr>
          <w:bCs/>
        </w:rPr>
        <w:t>výpovědní doby</w:t>
      </w:r>
      <w:r w:rsidR="002F3B67">
        <w:rPr>
          <w:bCs/>
        </w:rPr>
        <w:t xml:space="preserve">, běžící od </w:t>
      </w:r>
      <w:r w:rsidR="00D246F0">
        <w:rPr>
          <w:bCs/>
        </w:rPr>
        <w:t xml:space="preserve">měsíce následujícího po doručení výpovědi. </w:t>
      </w:r>
      <w:r w:rsidR="002F3B67">
        <w:rPr>
          <w:bCs/>
        </w:rPr>
        <w:t>Z</w:t>
      </w:r>
      <w:r w:rsidR="00D246F0">
        <w:rPr>
          <w:bCs/>
        </w:rPr>
        <w:t xml:space="preserve">aměstnanec </w:t>
      </w:r>
      <w:r w:rsidR="002F3B67">
        <w:rPr>
          <w:bCs/>
        </w:rPr>
        <w:t xml:space="preserve">tak může </w:t>
      </w:r>
      <w:r w:rsidR="0073120C" w:rsidRPr="0073120C">
        <w:rPr>
          <w:bCs/>
        </w:rPr>
        <w:t>pracovní poměr skončit okamžitě podle § 56 odst.</w:t>
      </w:r>
      <w:r w:rsidR="00D246F0">
        <w:rPr>
          <w:bCs/>
        </w:rPr>
        <w:t xml:space="preserve"> </w:t>
      </w:r>
      <w:r w:rsidR="0073120C" w:rsidRPr="0073120C">
        <w:rPr>
          <w:bCs/>
        </w:rPr>
        <w:t xml:space="preserve">1 písm. a) </w:t>
      </w:r>
      <w:r w:rsidR="00D77B58">
        <w:rPr>
          <w:bCs/>
        </w:rPr>
        <w:t xml:space="preserve">ZP: </w:t>
      </w:r>
    </w:p>
    <w:p w:rsidR="0073120C" w:rsidRDefault="0073120C" w:rsidP="0073120C">
      <w:pPr>
        <w:jc w:val="both"/>
        <w:rPr>
          <w:bCs/>
        </w:rPr>
      </w:pPr>
      <w:r w:rsidRPr="0073120C">
        <w:rPr>
          <w:bCs/>
        </w:rPr>
        <w:t> „Zaměstnanec může pr</w:t>
      </w:r>
      <w:r w:rsidR="002F3B67">
        <w:rPr>
          <w:bCs/>
        </w:rPr>
        <w:t>acovní poměr okamžitě zrušit</w:t>
      </w:r>
      <w:r w:rsidRPr="0073120C">
        <w:rPr>
          <w:bCs/>
        </w:rPr>
        <w:t>, jestliže podle lékařského posudku vydaného poskytovatelem pracovně</w:t>
      </w:r>
      <w:r w:rsidR="004021B4">
        <w:rPr>
          <w:bCs/>
        </w:rPr>
        <w:t>-</w:t>
      </w:r>
      <w:r w:rsidRPr="0073120C">
        <w:rPr>
          <w:bCs/>
        </w:rPr>
        <w:t>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w:t>
      </w:r>
    </w:p>
    <w:p w:rsidR="002F3B67" w:rsidRDefault="00016E0D" w:rsidP="003300FF">
      <w:pPr>
        <w:jc w:val="both"/>
        <w:rPr>
          <w:bCs/>
        </w:rPr>
      </w:pPr>
      <w:r>
        <w:rPr>
          <w:bCs/>
        </w:rPr>
        <w:t>V</w:t>
      </w:r>
      <w:r w:rsidR="00732274">
        <w:rPr>
          <w:bCs/>
        </w:rPr>
        <w:t xml:space="preserve"> tom </w:t>
      </w:r>
      <w:r w:rsidR="002F3B67">
        <w:rPr>
          <w:bCs/>
        </w:rPr>
        <w:t xml:space="preserve">případě podle § 56 </w:t>
      </w:r>
      <w:r w:rsidR="00D77B58">
        <w:rPr>
          <w:bCs/>
        </w:rPr>
        <w:t xml:space="preserve">odst. 2 ZP zaměstnanci </w:t>
      </w:r>
      <w:r w:rsidR="002F3B67" w:rsidRPr="002F3B67">
        <w:rPr>
          <w:bCs/>
        </w:rPr>
        <w:t xml:space="preserve">přísluší od zaměstnavatele náhrada mzdy nebo platu ve výši průměrného </w:t>
      </w:r>
      <w:r w:rsidR="00732274">
        <w:rPr>
          <w:bCs/>
        </w:rPr>
        <w:t xml:space="preserve">výdělku za dobu rovnající se </w:t>
      </w:r>
      <w:r w:rsidR="002F3B67" w:rsidRPr="002F3B67">
        <w:rPr>
          <w:bCs/>
        </w:rPr>
        <w:t>výpovědní dob</w:t>
      </w:r>
      <w:r w:rsidR="00732274">
        <w:rPr>
          <w:bCs/>
        </w:rPr>
        <w:t>ě</w:t>
      </w:r>
      <w:r w:rsidR="002F3B67" w:rsidRPr="002F3B67">
        <w:rPr>
          <w:bCs/>
        </w:rPr>
        <w:t>. </w:t>
      </w:r>
    </w:p>
    <w:p w:rsidR="00527A19" w:rsidRDefault="00527A19" w:rsidP="003300FF">
      <w:pPr>
        <w:jc w:val="both"/>
        <w:rPr>
          <w:bCs/>
        </w:rPr>
      </w:pPr>
      <w:r>
        <w:rPr>
          <w:bCs/>
        </w:rPr>
        <w:t>P</w:t>
      </w:r>
      <w:r w:rsidR="00377B4C">
        <w:rPr>
          <w:bCs/>
        </w:rPr>
        <w:t xml:space="preserve">okud je </w:t>
      </w:r>
      <w:r w:rsidR="00614A7C">
        <w:rPr>
          <w:bCs/>
        </w:rPr>
        <w:t xml:space="preserve">jako v této věci </w:t>
      </w:r>
      <w:r w:rsidR="00377B4C">
        <w:rPr>
          <w:bCs/>
        </w:rPr>
        <w:t>v posudku uvedeno „pozbyl dlouhodobě zdravotní způsobilost“ a nikoliv výslovně, že zaměstnanec „</w:t>
      </w:r>
      <w:r w:rsidR="00377B4C" w:rsidRPr="00377B4C">
        <w:rPr>
          <w:bCs/>
        </w:rPr>
        <w:t>nemůže dále konat práci bez vážného ohrožení svého zdraví</w:t>
      </w:r>
      <w:r w:rsidR="00377B4C">
        <w:rPr>
          <w:bCs/>
        </w:rPr>
        <w:t xml:space="preserve">“, </w:t>
      </w:r>
      <w:r>
        <w:rPr>
          <w:bCs/>
        </w:rPr>
        <w:t xml:space="preserve">neznamená to, že </w:t>
      </w:r>
      <w:r w:rsidR="00377B4C">
        <w:rPr>
          <w:bCs/>
        </w:rPr>
        <w:t xml:space="preserve">je pro tento účel nepoužitelný. I když to vypadá jako </w:t>
      </w:r>
      <w:r w:rsidR="00614A7C">
        <w:rPr>
          <w:bCs/>
        </w:rPr>
        <w:t xml:space="preserve">zbytečné </w:t>
      </w:r>
      <w:r w:rsidR="00377B4C">
        <w:rPr>
          <w:bCs/>
        </w:rPr>
        <w:t xml:space="preserve">slovíčkaření, i touto problematikou se </w:t>
      </w:r>
      <w:r w:rsidR="00614A7C">
        <w:rPr>
          <w:bCs/>
        </w:rPr>
        <w:t xml:space="preserve">už </w:t>
      </w:r>
      <w:r w:rsidR="00377B4C">
        <w:rPr>
          <w:bCs/>
        </w:rPr>
        <w:t xml:space="preserve">zabýval Nejvyšší soud v rozhodnutí </w:t>
      </w:r>
      <w:r w:rsidRPr="00527A19">
        <w:rPr>
          <w:bCs/>
        </w:rPr>
        <w:t xml:space="preserve">21 </w:t>
      </w:r>
      <w:proofErr w:type="spellStart"/>
      <w:r w:rsidRPr="00527A19">
        <w:rPr>
          <w:bCs/>
        </w:rPr>
        <w:t>Cdo</w:t>
      </w:r>
      <w:proofErr w:type="spellEnd"/>
      <w:r w:rsidRPr="00527A19">
        <w:rPr>
          <w:bCs/>
        </w:rPr>
        <w:t xml:space="preserve"> 4142/2011</w:t>
      </w:r>
      <w:r>
        <w:rPr>
          <w:bCs/>
        </w:rPr>
        <w:t xml:space="preserve"> </w:t>
      </w:r>
      <w:r w:rsidR="0011641D">
        <w:rPr>
          <w:bCs/>
        </w:rPr>
        <w:t xml:space="preserve">z roku </w:t>
      </w:r>
      <w:r w:rsidR="00614A7C">
        <w:rPr>
          <w:bCs/>
        </w:rPr>
        <w:t>2012. Podle něj</w:t>
      </w:r>
      <w:r>
        <w:rPr>
          <w:bCs/>
        </w:rPr>
        <w:t xml:space="preserve"> je sice </w:t>
      </w:r>
      <w:r w:rsidRPr="00527A19">
        <w:rPr>
          <w:bCs/>
        </w:rPr>
        <w:t xml:space="preserve">způsobilým podkladem pro platné rozvázání pracovního poměru okamžitým zrušením podle ustanovení § 56 </w:t>
      </w:r>
      <w:r w:rsidR="00CB7950">
        <w:rPr>
          <w:bCs/>
        </w:rPr>
        <w:t xml:space="preserve">odst. 1 </w:t>
      </w:r>
      <w:r w:rsidRPr="00527A19">
        <w:rPr>
          <w:bCs/>
        </w:rPr>
        <w:t xml:space="preserve">písm. a) </w:t>
      </w:r>
      <w:r w:rsidR="00CB7950">
        <w:rPr>
          <w:bCs/>
        </w:rPr>
        <w:t xml:space="preserve"> ZP</w:t>
      </w:r>
      <w:r w:rsidRPr="00527A19">
        <w:rPr>
          <w:bCs/>
        </w:rPr>
        <w:t xml:space="preserve"> pouze takový lékařský posudek, který stanoví, že zaměstnanec „nemůže dále konat práci bez </w:t>
      </w:r>
      <w:r w:rsidR="00614A7C">
        <w:rPr>
          <w:bCs/>
        </w:rPr>
        <w:t>vážného ohrožení svého zdraví“, p</w:t>
      </w:r>
      <w:r w:rsidRPr="00527A19">
        <w:rPr>
          <w:bCs/>
        </w:rPr>
        <w:t>ostupoval-li však lékař podle vzoru lékařského posudku upraveného podzákonným předpisem, který v rozporu se zákonem s takovým posudkovým závěrem nepočítá, nemůže být tento nedostatek na újmu práv zaměstnance, a tuto obsahovou vadu posudku je třeba odstranit výkladem.</w:t>
      </w:r>
    </w:p>
    <w:p w:rsidR="00D50780" w:rsidRPr="00D50780" w:rsidRDefault="00D50780" w:rsidP="003300FF">
      <w:pPr>
        <w:jc w:val="both"/>
        <w:rPr>
          <w:bCs/>
        </w:rPr>
      </w:pPr>
      <w:r>
        <w:rPr>
          <w:bCs/>
        </w:rPr>
        <w:t>Oním podzákonným předpisem je v</w:t>
      </w:r>
      <w:r w:rsidRPr="00D50780">
        <w:rPr>
          <w:bCs/>
        </w:rPr>
        <w:t xml:space="preserve">yhláška </w:t>
      </w:r>
      <w:r>
        <w:rPr>
          <w:bCs/>
        </w:rPr>
        <w:t>č. 385/2006 Sb.</w:t>
      </w:r>
      <w:r w:rsidRPr="00D50780">
        <w:rPr>
          <w:bCs/>
        </w:rPr>
        <w:t xml:space="preserve">, o zdravotnické dokumentaci, </w:t>
      </w:r>
      <w:r w:rsidR="0011641D">
        <w:rPr>
          <w:bCs/>
        </w:rPr>
        <w:t xml:space="preserve">podle níž </w:t>
      </w:r>
      <w:r w:rsidRPr="00D50780">
        <w:rPr>
          <w:bCs/>
        </w:rPr>
        <w:t>z posudkového závěru lékařského posudku vydaného za účelem posouzení zdravotní způsobilosti musí být zřejmé, zda posuzovaná osoba</w:t>
      </w:r>
      <w:r>
        <w:rPr>
          <w:bCs/>
        </w:rPr>
        <w:t xml:space="preserve">: </w:t>
      </w:r>
    </w:p>
    <w:p w:rsidR="00D50780" w:rsidRPr="00D50780" w:rsidRDefault="00D50780" w:rsidP="00D50780">
      <w:pPr>
        <w:spacing w:after="0"/>
        <w:jc w:val="both"/>
        <w:rPr>
          <w:bCs/>
        </w:rPr>
      </w:pPr>
      <w:r w:rsidRPr="00D50780">
        <w:rPr>
          <w:bCs/>
        </w:rPr>
        <w:t>a) je zdravotně způsobilá,</w:t>
      </w:r>
    </w:p>
    <w:p w:rsidR="00D50780" w:rsidRPr="00D50780" w:rsidRDefault="00D50780" w:rsidP="00D50780">
      <w:pPr>
        <w:spacing w:after="0"/>
        <w:jc w:val="both"/>
        <w:rPr>
          <w:bCs/>
        </w:rPr>
      </w:pPr>
      <w:r w:rsidRPr="00D50780">
        <w:rPr>
          <w:bCs/>
        </w:rPr>
        <w:t>b) je zdravotně způsobilá s podmínkou; zdravotní způsobilostí s podmínkou se rozumí například použití nezbytného zdravotnického prostředku posuzovanou osobou nebo jiné omezení posuzované osoby kompenzující její zdravotní omezení; v posudku se vždy tato podmínka vymezí,</w:t>
      </w:r>
    </w:p>
    <w:p w:rsidR="00D50780" w:rsidRPr="00D50780" w:rsidRDefault="00D50780" w:rsidP="00D50780">
      <w:pPr>
        <w:spacing w:after="0"/>
        <w:jc w:val="both"/>
        <w:rPr>
          <w:bCs/>
        </w:rPr>
      </w:pPr>
      <w:r w:rsidRPr="00D50780">
        <w:rPr>
          <w:bCs/>
        </w:rPr>
        <w:t>c) je zdravotně nezpůsobilá, nebo</w:t>
      </w:r>
    </w:p>
    <w:p w:rsidR="00D50780" w:rsidRPr="00D50780" w:rsidRDefault="00D50780" w:rsidP="00D50780">
      <w:pPr>
        <w:spacing w:after="0"/>
        <w:jc w:val="both"/>
        <w:rPr>
          <w:bCs/>
        </w:rPr>
      </w:pPr>
      <w:r w:rsidRPr="00D50780">
        <w:rPr>
          <w:bCs/>
        </w:rPr>
        <w:t>d) pozbyla dlouhodobě zdravotní způsobilost.</w:t>
      </w:r>
    </w:p>
    <w:p w:rsidR="009810FD" w:rsidRDefault="009810FD" w:rsidP="009810FD">
      <w:pPr>
        <w:jc w:val="both"/>
        <w:rPr>
          <w:bCs/>
        </w:rPr>
      </w:pPr>
    </w:p>
    <w:p w:rsidR="009810FD" w:rsidRPr="009810FD" w:rsidRDefault="00D50780" w:rsidP="003300FF">
      <w:pPr>
        <w:jc w:val="both"/>
        <w:rPr>
          <w:bCs/>
        </w:rPr>
      </w:pPr>
      <w:r>
        <w:rPr>
          <w:bCs/>
        </w:rPr>
        <w:t xml:space="preserve">Vyhláška a </w:t>
      </w:r>
      <w:r w:rsidRPr="00D50780">
        <w:rPr>
          <w:bCs/>
        </w:rPr>
        <w:t xml:space="preserve">pracovně-lékařská legislativa </w:t>
      </w:r>
      <w:r>
        <w:rPr>
          <w:bCs/>
        </w:rPr>
        <w:t>vůbec tedy pojem zákoníku práce „</w:t>
      </w:r>
      <w:r w:rsidRPr="00D50780">
        <w:rPr>
          <w:bCs/>
        </w:rPr>
        <w:t>nemůže dále konat práci bez vážného ohrože</w:t>
      </w:r>
      <w:r w:rsidR="0011641D">
        <w:rPr>
          <w:bCs/>
        </w:rPr>
        <w:t xml:space="preserve">ní svého zdraví“ </w:t>
      </w:r>
      <w:r>
        <w:rPr>
          <w:bCs/>
        </w:rPr>
        <w:t>nezná</w:t>
      </w:r>
      <w:r w:rsidR="00F4183D">
        <w:rPr>
          <w:bCs/>
        </w:rPr>
        <w:t xml:space="preserve"> </w:t>
      </w:r>
      <w:r>
        <w:rPr>
          <w:bCs/>
        </w:rPr>
        <w:t xml:space="preserve">a </w:t>
      </w:r>
      <w:r w:rsidR="0011641D">
        <w:rPr>
          <w:bCs/>
        </w:rPr>
        <w:t>je-li</w:t>
      </w:r>
      <w:r w:rsidR="00070C22">
        <w:rPr>
          <w:bCs/>
        </w:rPr>
        <w:t xml:space="preserve"> </w:t>
      </w:r>
      <w:r>
        <w:rPr>
          <w:bCs/>
        </w:rPr>
        <w:t>formulář</w:t>
      </w:r>
      <w:r w:rsidRPr="00D50780">
        <w:rPr>
          <w:bCs/>
        </w:rPr>
        <w:t xml:space="preserve"> zdravotnick</w:t>
      </w:r>
      <w:r>
        <w:rPr>
          <w:bCs/>
        </w:rPr>
        <w:t xml:space="preserve">ého zařízení </w:t>
      </w:r>
      <w:r w:rsidR="00070C22">
        <w:rPr>
          <w:bCs/>
        </w:rPr>
        <w:t>v souladu s požadavky</w:t>
      </w:r>
      <w:r>
        <w:rPr>
          <w:bCs/>
        </w:rPr>
        <w:t xml:space="preserve"> vyhlášky, </w:t>
      </w:r>
      <w:r w:rsidRPr="00D50780">
        <w:rPr>
          <w:bCs/>
        </w:rPr>
        <w:t xml:space="preserve">podle </w:t>
      </w:r>
      <w:r>
        <w:rPr>
          <w:bCs/>
        </w:rPr>
        <w:t>zmíněného</w:t>
      </w:r>
      <w:r w:rsidR="0011641D">
        <w:rPr>
          <w:bCs/>
        </w:rPr>
        <w:t xml:space="preserve"> rozhodnutí </w:t>
      </w:r>
      <w:r>
        <w:rPr>
          <w:bCs/>
        </w:rPr>
        <w:t xml:space="preserve">soudu </w:t>
      </w:r>
      <w:r w:rsidRPr="00D50780">
        <w:rPr>
          <w:bCs/>
        </w:rPr>
        <w:t xml:space="preserve">není </w:t>
      </w:r>
      <w:r>
        <w:rPr>
          <w:bCs/>
        </w:rPr>
        <w:t xml:space="preserve">v posudku </w:t>
      </w:r>
      <w:r w:rsidRPr="00D50780">
        <w:rPr>
          <w:bCs/>
        </w:rPr>
        <w:t xml:space="preserve">nutný. </w:t>
      </w:r>
      <w:r w:rsidR="009810FD" w:rsidRPr="009810FD">
        <w:rPr>
          <w:bCs/>
        </w:rPr>
        <w:t>„</w:t>
      </w:r>
      <w:r w:rsidR="0019286E">
        <w:rPr>
          <w:bCs/>
        </w:rPr>
        <w:t>V</w:t>
      </w:r>
      <w:r w:rsidR="009810FD" w:rsidRPr="009810FD">
        <w:rPr>
          <w:bCs/>
        </w:rPr>
        <w:t>ýklad“ se použije samoz</w:t>
      </w:r>
      <w:r w:rsidR="009810FD">
        <w:rPr>
          <w:bCs/>
        </w:rPr>
        <w:t>řejmě jen ve sporných případech</w:t>
      </w:r>
      <w:r w:rsidR="0019286E">
        <w:rPr>
          <w:bCs/>
        </w:rPr>
        <w:t xml:space="preserve">. Pokud </w:t>
      </w:r>
      <w:r w:rsidR="009810FD" w:rsidRPr="009810FD">
        <w:rPr>
          <w:bCs/>
        </w:rPr>
        <w:t>zaměstnavatel žádost o náhradu mzdy nerozporuje, žádný výklad není potřeba.</w:t>
      </w:r>
    </w:p>
    <w:p w:rsidR="00C32118" w:rsidRDefault="00C32118" w:rsidP="0044392E">
      <w:pPr>
        <w:pStyle w:val="Nadpis2"/>
      </w:pPr>
      <w:r>
        <w:lastRenderedPageBreak/>
        <w:t xml:space="preserve">Automatické obnovení užívání bytu </w:t>
      </w:r>
    </w:p>
    <w:p w:rsidR="003300FF" w:rsidRPr="003300FF" w:rsidRDefault="003300FF" w:rsidP="003300FF">
      <w:pPr>
        <w:jc w:val="both"/>
        <w:rPr>
          <w:bCs/>
        </w:rPr>
      </w:pPr>
      <w:r w:rsidRPr="003300FF">
        <w:rPr>
          <w:bCs/>
        </w:rPr>
        <w:t xml:space="preserve">Obecně </w:t>
      </w:r>
      <w:r>
        <w:rPr>
          <w:bCs/>
        </w:rPr>
        <w:t xml:space="preserve">pro nájem jakékoliv věci platí </w:t>
      </w:r>
      <w:r w:rsidRPr="003300FF">
        <w:rPr>
          <w:bCs/>
        </w:rPr>
        <w:t>§ 2230</w:t>
      </w:r>
      <w:r w:rsidR="00266016">
        <w:rPr>
          <w:bCs/>
        </w:rPr>
        <w:t xml:space="preserve"> občanského zákoníku</w:t>
      </w:r>
      <w:r>
        <w:rPr>
          <w:bCs/>
        </w:rPr>
        <w:t>, podle kterého u</w:t>
      </w:r>
      <w:r w:rsidRPr="003300FF">
        <w:rPr>
          <w:bCs/>
        </w:rPr>
        <w:t>žívá-li nájemce věc i po uplynutí nájemní doby a pronajímatel ho do jednoho měsíce nevyzve, aby mu věc odevzdal, platí, že nájemní smlouva byla znovu uzavřena za podmínek ujednaných původně. Byla-li původně nájemní doba delší než jeden rok, platí, že nyní byla uzavřena na jeden rok; byla-li kratší než jeden rok, platí, že nyní byla uzavřena na tuto dobu.</w:t>
      </w:r>
    </w:p>
    <w:p w:rsidR="003300FF" w:rsidRDefault="003300FF" w:rsidP="003300FF">
      <w:pPr>
        <w:jc w:val="both"/>
        <w:rPr>
          <w:bCs/>
        </w:rPr>
      </w:pPr>
      <w:r w:rsidRPr="003300FF">
        <w:rPr>
          <w:bCs/>
        </w:rPr>
        <w:t xml:space="preserve">Pro </w:t>
      </w:r>
      <w:r>
        <w:rPr>
          <w:bCs/>
        </w:rPr>
        <w:t>n</w:t>
      </w:r>
      <w:r w:rsidRPr="003300FF">
        <w:rPr>
          <w:bCs/>
        </w:rPr>
        <w:t>ájem bytu</w:t>
      </w:r>
      <w:r>
        <w:rPr>
          <w:bCs/>
        </w:rPr>
        <w:t xml:space="preserve"> </w:t>
      </w:r>
      <w:r w:rsidR="00DC51E1">
        <w:rPr>
          <w:bCs/>
        </w:rPr>
        <w:t xml:space="preserve">pak </w:t>
      </w:r>
      <w:r>
        <w:rPr>
          <w:bCs/>
        </w:rPr>
        <w:t xml:space="preserve">platí speciální </w:t>
      </w:r>
      <w:r w:rsidRPr="003300FF">
        <w:rPr>
          <w:bCs/>
        </w:rPr>
        <w:t>§ 2285</w:t>
      </w:r>
      <w:r>
        <w:rPr>
          <w:bCs/>
        </w:rPr>
        <w:t xml:space="preserve">, </w:t>
      </w:r>
      <w:r w:rsidR="00266016">
        <w:rPr>
          <w:bCs/>
        </w:rPr>
        <w:t xml:space="preserve">podle </w:t>
      </w:r>
      <w:r>
        <w:rPr>
          <w:bCs/>
        </w:rPr>
        <w:t>kterého p</w:t>
      </w:r>
      <w:r w:rsidRPr="003300FF">
        <w:rPr>
          <w:bCs/>
        </w:rPr>
        <w:t>okračuje-li nájemce v užívání bytu po dobu alespoň tří měsíců po dni, kdy měl nájem bytu skončit, a pronajímatel nevyzve v této době nájemce, aby byt opustil, platí, že je nájem znovu ujednán na tutéž dobu, na jakou byl ujednán dříve, nejvýše ale na dobu dvou let; to neplatí, ujednají-li si strany něco jiného. Výzva vyžaduje písemnou formu.</w:t>
      </w:r>
    </w:p>
    <w:p w:rsidR="0034639A" w:rsidRDefault="00C20F17" w:rsidP="0034639A">
      <w:pPr>
        <w:jc w:val="both"/>
        <w:rPr>
          <w:bCs/>
        </w:rPr>
      </w:pPr>
      <w:r>
        <w:rPr>
          <w:bCs/>
        </w:rPr>
        <w:t>Ž</w:t>
      </w:r>
      <w:r w:rsidR="00122523">
        <w:rPr>
          <w:bCs/>
        </w:rPr>
        <w:t xml:space="preserve">ádné takové </w:t>
      </w:r>
      <w:r w:rsidR="00266016">
        <w:rPr>
          <w:bCs/>
        </w:rPr>
        <w:t xml:space="preserve">ustanovení </w:t>
      </w:r>
      <w:r>
        <w:rPr>
          <w:bCs/>
        </w:rPr>
        <w:t xml:space="preserve">ovšem </w:t>
      </w:r>
      <w:r w:rsidR="00266016">
        <w:rPr>
          <w:bCs/>
        </w:rPr>
        <w:t>není v části občanského zákoníku upravující podnájem bytu (§ 2274 – § 2278)</w:t>
      </w:r>
      <w:r w:rsidR="00E95D6D">
        <w:rPr>
          <w:bCs/>
        </w:rPr>
        <w:t>. N</w:t>
      </w:r>
      <w:r w:rsidR="00266016">
        <w:rPr>
          <w:bCs/>
        </w:rPr>
        <w:t xml:space="preserve">ení zde ani výslovně </w:t>
      </w:r>
      <w:r w:rsidR="00E95D6D">
        <w:rPr>
          <w:bCs/>
        </w:rPr>
        <w:t xml:space="preserve">dána </w:t>
      </w:r>
      <w:r w:rsidR="00266016">
        <w:rPr>
          <w:bCs/>
        </w:rPr>
        <w:t>možnos</w:t>
      </w:r>
      <w:r w:rsidR="00C32118">
        <w:rPr>
          <w:bCs/>
        </w:rPr>
        <w:t xml:space="preserve">t použít analogii </w:t>
      </w:r>
      <w:r w:rsidR="00266016">
        <w:rPr>
          <w:bCs/>
        </w:rPr>
        <w:t xml:space="preserve">jako je tomu u nájmu prostoru </w:t>
      </w:r>
      <w:r w:rsidR="00266016" w:rsidRPr="00266016">
        <w:rPr>
          <w:bCs/>
        </w:rPr>
        <w:t>sloužícího podnikání</w:t>
      </w:r>
      <w:r w:rsidR="00E95D6D">
        <w:rPr>
          <w:bCs/>
        </w:rPr>
        <w:t xml:space="preserve">, tedy </w:t>
      </w:r>
      <w:r w:rsidR="00266016">
        <w:rPr>
          <w:bCs/>
        </w:rPr>
        <w:t>že u</w:t>
      </w:r>
      <w:r w:rsidR="00266016" w:rsidRPr="00266016">
        <w:rPr>
          <w:bCs/>
        </w:rPr>
        <w:t>stanovení o skončení nájmu bytu na dobu určitou se použijí obdobně.</w:t>
      </w:r>
      <w:r>
        <w:rPr>
          <w:bCs/>
        </w:rPr>
        <w:t xml:space="preserve"> </w:t>
      </w:r>
      <w:r w:rsidR="00414719">
        <w:rPr>
          <w:bCs/>
        </w:rPr>
        <w:t>S</w:t>
      </w:r>
      <w:r w:rsidR="00266016">
        <w:rPr>
          <w:bCs/>
        </w:rPr>
        <w:t xml:space="preserve"> automatickým obnovením podnájmu při dalším faktickém bydlení podnájemce v bytě </w:t>
      </w:r>
      <w:r w:rsidR="00E95D6D">
        <w:rPr>
          <w:bCs/>
        </w:rPr>
        <w:t>občanský zákoník</w:t>
      </w:r>
      <w:r w:rsidR="00266016">
        <w:rPr>
          <w:bCs/>
        </w:rPr>
        <w:t xml:space="preserve"> </w:t>
      </w:r>
      <w:r w:rsidR="000C4A91">
        <w:rPr>
          <w:bCs/>
        </w:rPr>
        <w:t>prostě</w:t>
      </w:r>
      <w:r w:rsidR="00122523">
        <w:rPr>
          <w:bCs/>
        </w:rPr>
        <w:t xml:space="preserve"> nepočítá, protože </w:t>
      </w:r>
      <w:r w:rsidR="00C32118">
        <w:rPr>
          <w:bCs/>
        </w:rPr>
        <w:t xml:space="preserve">platí, že </w:t>
      </w:r>
      <w:r w:rsidR="00414719">
        <w:rPr>
          <w:bCs/>
        </w:rPr>
        <w:t>p</w:t>
      </w:r>
      <w:r w:rsidR="00414719" w:rsidRPr="00414719">
        <w:rPr>
          <w:bCs/>
        </w:rPr>
        <w:t xml:space="preserve">odnájem končí společně </w:t>
      </w:r>
      <w:r w:rsidR="0034639A">
        <w:rPr>
          <w:bCs/>
        </w:rPr>
        <w:t xml:space="preserve">a nejpozději </w:t>
      </w:r>
      <w:r w:rsidR="00414719" w:rsidRPr="00414719">
        <w:rPr>
          <w:bCs/>
        </w:rPr>
        <w:t>s nájmem</w:t>
      </w:r>
      <w:r w:rsidR="00414719" w:rsidRPr="00414719">
        <w:rPr>
          <w:b/>
          <w:bCs/>
        </w:rPr>
        <w:t xml:space="preserve"> </w:t>
      </w:r>
      <w:r w:rsidR="0034639A">
        <w:rPr>
          <w:b/>
          <w:bCs/>
        </w:rPr>
        <w:t>(</w:t>
      </w:r>
      <w:r w:rsidR="00414719" w:rsidRPr="00414719">
        <w:rPr>
          <w:bCs/>
        </w:rPr>
        <w:t>§ 2277</w:t>
      </w:r>
      <w:r w:rsidR="0034639A">
        <w:rPr>
          <w:bCs/>
        </w:rPr>
        <w:t xml:space="preserve"> a </w:t>
      </w:r>
      <w:r w:rsidR="0034639A" w:rsidRPr="00414719">
        <w:rPr>
          <w:bCs/>
        </w:rPr>
        <w:t>§ 2278</w:t>
      </w:r>
      <w:r w:rsidR="0034639A">
        <w:rPr>
          <w:bCs/>
        </w:rPr>
        <w:t>).  L</w:t>
      </w:r>
      <w:r w:rsidR="00F8619B">
        <w:rPr>
          <w:bCs/>
        </w:rPr>
        <w:t xml:space="preserve">ze si </w:t>
      </w:r>
      <w:r w:rsidR="0034639A">
        <w:rPr>
          <w:bCs/>
        </w:rPr>
        <w:t>představit, že v mimořádný</w:t>
      </w:r>
      <w:r w:rsidR="0044392E">
        <w:rPr>
          <w:bCs/>
        </w:rPr>
        <w:t>ch</w:t>
      </w:r>
      <w:r w:rsidR="0034639A">
        <w:rPr>
          <w:bCs/>
        </w:rPr>
        <w:t xml:space="preserve"> případech a vzhledem ke konkrétním okolnostem věci by podnájemce byt ihned opustit nemusel, pokud by vyklizení </w:t>
      </w:r>
      <w:r w:rsidR="00F8619B">
        <w:rPr>
          <w:bCs/>
        </w:rPr>
        <w:t>mělo být</w:t>
      </w:r>
      <w:r w:rsidR="0034639A">
        <w:rPr>
          <w:bCs/>
        </w:rPr>
        <w:t xml:space="preserve"> v rozporu s dobrými mravy. </w:t>
      </w:r>
      <w:r w:rsidR="00F8619B">
        <w:rPr>
          <w:bCs/>
        </w:rPr>
        <w:t xml:space="preserve">O tom však může rozhodnout pouze soud. </w:t>
      </w:r>
    </w:p>
    <w:p w:rsidR="0044392E" w:rsidRDefault="00351D91" w:rsidP="0044392E">
      <w:pPr>
        <w:pStyle w:val="Nadpis2"/>
      </w:pPr>
      <w:r w:rsidRPr="00351D91">
        <w:t>Víte, že …</w:t>
      </w:r>
    </w:p>
    <w:p w:rsidR="00351D91" w:rsidRPr="0051724C" w:rsidRDefault="00AD2DF4" w:rsidP="00414719">
      <w:pPr>
        <w:jc w:val="both"/>
        <w:rPr>
          <w:b/>
          <w:bCs/>
        </w:rPr>
      </w:pPr>
      <w:r>
        <w:rPr>
          <w:bCs/>
        </w:rPr>
        <w:t xml:space="preserve">řadu </w:t>
      </w:r>
      <w:r w:rsidR="00051E8A">
        <w:rPr>
          <w:bCs/>
        </w:rPr>
        <w:t xml:space="preserve">původně </w:t>
      </w:r>
      <w:r w:rsidR="00E72D9A">
        <w:rPr>
          <w:bCs/>
        </w:rPr>
        <w:t xml:space="preserve">latinských, </w:t>
      </w:r>
      <w:r w:rsidR="00051E8A">
        <w:rPr>
          <w:bCs/>
        </w:rPr>
        <w:t xml:space="preserve">dnes běžně používaných </w:t>
      </w:r>
      <w:r>
        <w:rPr>
          <w:bCs/>
        </w:rPr>
        <w:t>t</w:t>
      </w:r>
      <w:r w:rsidR="00351D91">
        <w:rPr>
          <w:bCs/>
        </w:rPr>
        <w:t>ermín</w:t>
      </w:r>
      <w:r>
        <w:rPr>
          <w:bCs/>
        </w:rPr>
        <w:t xml:space="preserve">ů </w:t>
      </w:r>
      <w:r w:rsidR="0083616D">
        <w:rPr>
          <w:bCs/>
        </w:rPr>
        <w:t>zavedli</w:t>
      </w:r>
      <w:r w:rsidR="00351D91">
        <w:rPr>
          <w:bCs/>
        </w:rPr>
        <w:t xml:space="preserve"> „</w:t>
      </w:r>
      <w:r w:rsidR="00FC2C4D">
        <w:rPr>
          <w:bCs/>
        </w:rPr>
        <w:t xml:space="preserve">již </w:t>
      </w:r>
      <w:r w:rsidR="00351D91">
        <w:rPr>
          <w:bCs/>
        </w:rPr>
        <w:t xml:space="preserve">staří Římané“? </w:t>
      </w:r>
      <w:r w:rsidR="00943A17">
        <w:rPr>
          <w:bCs/>
        </w:rPr>
        <w:t>Někdy</w:t>
      </w:r>
      <w:r>
        <w:rPr>
          <w:bCs/>
        </w:rPr>
        <w:t xml:space="preserve"> je význam </w:t>
      </w:r>
      <w:r w:rsidR="00C005BE">
        <w:rPr>
          <w:bCs/>
        </w:rPr>
        <w:t>stejný</w:t>
      </w:r>
      <w:r>
        <w:rPr>
          <w:bCs/>
        </w:rPr>
        <w:t>,</w:t>
      </w:r>
      <w:bookmarkStart w:id="0" w:name="_GoBack"/>
      <w:bookmarkEnd w:id="0"/>
      <w:r>
        <w:rPr>
          <w:bCs/>
        </w:rPr>
        <w:t xml:space="preserve"> jin</w:t>
      </w:r>
      <w:r w:rsidR="0083616D">
        <w:rPr>
          <w:bCs/>
        </w:rPr>
        <w:t>d</w:t>
      </w:r>
      <w:r w:rsidR="00BE1DF3">
        <w:rPr>
          <w:bCs/>
        </w:rPr>
        <w:t>y</w:t>
      </w:r>
      <w:r w:rsidR="0083616D">
        <w:rPr>
          <w:bCs/>
        </w:rPr>
        <w:t xml:space="preserve"> </w:t>
      </w:r>
      <w:r w:rsidR="00F36D35">
        <w:rPr>
          <w:bCs/>
        </w:rPr>
        <w:t xml:space="preserve">se </w:t>
      </w:r>
      <w:r w:rsidR="0083616D">
        <w:rPr>
          <w:bCs/>
        </w:rPr>
        <w:t>posunul</w:t>
      </w:r>
      <w:r w:rsidR="00F36D35">
        <w:rPr>
          <w:bCs/>
        </w:rPr>
        <w:t xml:space="preserve">. Příklady </w:t>
      </w:r>
      <w:r>
        <w:rPr>
          <w:bCs/>
        </w:rPr>
        <w:t>posuďte sami:</w:t>
      </w:r>
    </w:p>
    <w:p w:rsidR="00FC2C4D" w:rsidRPr="00F36D35" w:rsidRDefault="0083616D" w:rsidP="00F36D35">
      <w:pPr>
        <w:pStyle w:val="Odstavecseseznamem"/>
        <w:numPr>
          <w:ilvl w:val="0"/>
          <w:numId w:val="31"/>
        </w:numPr>
        <w:jc w:val="both"/>
        <w:rPr>
          <w:bCs/>
        </w:rPr>
      </w:pPr>
      <w:proofErr w:type="spellStart"/>
      <w:r w:rsidRPr="00F36D35">
        <w:rPr>
          <w:bCs/>
        </w:rPr>
        <w:t>emancipatio</w:t>
      </w:r>
      <w:proofErr w:type="spellEnd"/>
      <w:r w:rsidRPr="00F36D35">
        <w:rPr>
          <w:bCs/>
        </w:rPr>
        <w:t xml:space="preserve"> = propuštění dítěte z rodiny </w:t>
      </w:r>
    </w:p>
    <w:p w:rsidR="0083616D" w:rsidRDefault="0083616D" w:rsidP="00266016">
      <w:pPr>
        <w:pStyle w:val="Odstavecseseznamem"/>
        <w:numPr>
          <w:ilvl w:val="0"/>
          <w:numId w:val="31"/>
        </w:numPr>
        <w:jc w:val="both"/>
        <w:rPr>
          <w:bCs/>
        </w:rPr>
      </w:pPr>
      <w:proofErr w:type="spellStart"/>
      <w:r>
        <w:rPr>
          <w:bCs/>
        </w:rPr>
        <w:t>adoptio</w:t>
      </w:r>
      <w:proofErr w:type="spellEnd"/>
      <w:r>
        <w:rPr>
          <w:bCs/>
        </w:rPr>
        <w:t xml:space="preserve"> </w:t>
      </w:r>
      <w:r w:rsidR="00FC2C4D">
        <w:rPr>
          <w:bCs/>
        </w:rPr>
        <w:t xml:space="preserve">= přijetí cizí osoby do rodiny </w:t>
      </w:r>
    </w:p>
    <w:p w:rsidR="0083616D" w:rsidRDefault="00C005BE" w:rsidP="0083616D">
      <w:pPr>
        <w:pStyle w:val="Odstavecseseznamem"/>
        <w:numPr>
          <w:ilvl w:val="0"/>
          <w:numId w:val="31"/>
        </w:numPr>
        <w:jc w:val="both"/>
        <w:rPr>
          <w:bCs/>
        </w:rPr>
      </w:pPr>
      <w:proofErr w:type="spellStart"/>
      <w:r>
        <w:rPr>
          <w:bCs/>
        </w:rPr>
        <w:t>consensus</w:t>
      </w:r>
      <w:proofErr w:type="spellEnd"/>
      <w:r>
        <w:rPr>
          <w:bCs/>
        </w:rPr>
        <w:t xml:space="preserve"> = trvalý </w:t>
      </w:r>
      <w:r w:rsidR="00F36D35">
        <w:rPr>
          <w:bCs/>
        </w:rPr>
        <w:t xml:space="preserve">a </w:t>
      </w:r>
      <w:r>
        <w:rPr>
          <w:bCs/>
        </w:rPr>
        <w:t xml:space="preserve">vzájemný souhlas manželů s manželstvím </w:t>
      </w:r>
    </w:p>
    <w:p w:rsidR="00ED5BA4" w:rsidRDefault="00C005BE" w:rsidP="00ED5BA4">
      <w:pPr>
        <w:pStyle w:val="Odstavecseseznamem"/>
        <w:numPr>
          <w:ilvl w:val="0"/>
          <w:numId w:val="31"/>
        </w:numPr>
        <w:jc w:val="both"/>
        <w:rPr>
          <w:bCs/>
        </w:rPr>
      </w:pPr>
      <w:proofErr w:type="spellStart"/>
      <w:r>
        <w:rPr>
          <w:bCs/>
        </w:rPr>
        <w:t>concubinatus</w:t>
      </w:r>
      <w:proofErr w:type="spellEnd"/>
      <w:r>
        <w:rPr>
          <w:bCs/>
        </w:rPr>
        <w:t xml:space="preserve"> = trvalé soužití muže s jinou ženou místo manželství nebo vedle něj</w:t>
      </w:r>
      <w:r w:rsidR="00ED5BA4" w:rsidRPr="00ED5BA4">
        <w:rPr>
          <w:bCs/>
        </w:rPr>
        <w:t xml:space="preserve"> </w:t>
      </w:r>
    </w:p>
    <w:p w:rsidR="00ED5BA4" w:rsidRDefault="00ED5BA4" w:rsidP="00ED5BA4">
      <w:pPr>
        <w:pStyle w:val="Odstavecseseznamem"/>
        <w:numPr>
          <w:ilvl w:val="0"/>
          <w:numId w:val="31"/>
        </w:numPr>
        <w:jc w:val="both"/>
        <w:rPr>
          <w:bCs/>
        </w:rPr>
      </w:pPr>
      <w:proofErr w:type="spellStart"/>
      <w:r>
        <w:rPr>
          <w:bCs/>
        </w:rPr>
        <w:t>consortium</w:t>
      </w:r>
      <w:proofErr w:type="spellEnd"/>
      <w:r>
        <w:rPr>
          <w:bCs/>
        </w:rPr>
        <w:t xml:space="preserve"> = patriarchální velkorodina</w:t>
      </w:r>
    </w:p>
    <w:p w:rsidR="00C005BE" w:rsidRPr="00ED5BA4" w:rsidRDefault="00C005BE" w:rsidP="00ED5BA4">
      <w:pPr>
        <w:pStyle w:val="Odstavecseseznamem"/>
        <w:numPr>
          <w:ilvl w:val="0"/>
          <w:numId w:val="31"/>
        </w:numPr>
        <w:jc w:val="both"/>
        <w:rPr>
          <w:bCs/>
        </w:rPr>
      </w:pPr>
      <w:proofErr w:type="spellStart"/>
      <w:r w:rsidRPr="00ED5BA4">
        <w:rPr>
          <w:bCs/>
        </w:rPr>
        <w:t>testamentum</w:t>
      </w:r>
      <w:proofErr w:type="spellEnd"/>
      <w:r w:rsidRPr="00ED5BA4">
        <w:rPr>
          <w:bCs/>
        </w:rPr>
        <w:t xml:space="preserve"> = závěť </w:t>
      </w:r>
    </w:p>
    <w:p w:rsidR="00F36D35" w:rsidRDefault="00C005BE" w:rsidP="00F36D35">
      <w:pPr>
        <w:pStyle w:val="Odstavecseseznamem"/>
        <w:numPr>
          <w:ilvl w:val="0"/>
          <w:numId w:val="31"/>
        </w:numPr>
        <w:jc w:val="both"/>
        <w:rPr>
          <w:bCs/>
        </w:rPr>
      </w:pPr>
      <w:proofErr w:type="spellStart"/>
      <w:r>
        <w:rPr>
          <w:bCs/>
        </w:rPr>
        <w:t>occupatio</w:t>
      </w:r>
      <w:proofErr w:type="spellEnd"/>
      <w:r>
        <w:rPr>
          <w:bCs/>
        </w:rPr>
        <w:t xml:space="preserve"> = nabytí vlastnictví k věci bez pána </w:t>
      </w:r>
    </w:p>
    <w:p w:rsidR="00F36D35" w:rsidRDefault="00F36D35" w:rsidP="00F36D35">
      <w:pPr>
        <w:pStyle w:val="Odstavecseseznamem"/>
        <w:numPr>
          <w:ilvl w:val="0"/>
          <w:numId w:val="31"/>
        </w:numPr>
        <w:jc w:val="both"/>
        <w:rPr>
          <w:bCs/>
        </w:rPr>
      </w:pPr>
      <w:proofErr w:type="spellStart"/>
      <w:r>
        <w:rPr>
          <w:bCs/>
        </w:rPr>
        <w:t>hypotheca</w:t>
      </w:r>
      <w:proofErr w:type="spellEnd"/>
      <w:r>
        <w:rPr>
          <w:bCs/>
        </w:rPr>
        <w:t xml:space="preserve"> = zástavní právo</w:t>
      </w:r>
      <w:r w:rsidR="00051E8A">
        <w:rPr>
          <w:bCs/>
        </w:rPr>
        <w:t xml:space="preserve"> </w:t>
      </w:r>
    </w:p>
    <w:p w:rsidR="00C005BE" w:rsidRDefault="009D2AE8" w:rsidP="00F36D35">
      <w:pPr>
        <w:pStyle w:val="Odstavecseseznamem"/>
        <w:numPr>
          <w:ilvl w:val="0"/>
          <w:numId w:val="31"/>
        </w:numPr>
        <w:jc w:val="both"/>
        <w:rPr>
          <w:bCs/>
        </w:rPr>
      </w:pPr>
      <w:r>
        <w:rPr>
          <w:bCs/>
        </w:rPr>
        <w:t xml:space="preserve">dominium, </w:t>
      </w:r>
      <w:proofErr w:type="spellStart"/>
      <w:r w:rsidR="00F36D35" w:rsidRPr="00F36D35">
        <w:rPr>
          <w:bCs/>
        </w:rPr>
        <w:t>proprietas</w:t>
      </w:r>
      <w:proofErr w:type="spellEnd"/>
      <w:r w:rsidR="00F36D35" w:rsidRPr="00F36D35">
        <w:rPr>
          <w:bCs/>
        </w:rPr>
        <w:t xml:space="preserve"> = </w:t>
      </w:r>
      <w:r w:rsidR="00FC2C4D" w:rsidRPr="00F36D35">
        <w:rPr>
          <w:bCs/>
        </w:rPr>
        <w:t>soukromé vlastnictví</w:t>
      </w:r>
    </w:p>
    <w:p w:rsidR="00D956F1" w:rsidRDefault="00D956F1" w:rsidP="00F36D35">
      <w:pPr>
        <w:pStyle w:val="Odstavecseseznamem"/>
        <w:numPr>
          <w:ilvl w:val="0"/>
          <w:numId w:val="31"/>
        </w:numPr>
        <w:jc w:val="both"/>
        <w:rPr>
          <w:bCs/>
        </w:rPr>
      </w:pPr>
      <w:proofErr w:type="spellStart"/>
      <w:r>
        <w:rPr>
          <w:bCs/>
        </w:rPr>
        <w:t>contractus</w:t>
      </w:r>
      <w:proofErr w:type="spellEnd"/>
      <w:r>
        <w:rPr>
          <w:bCs/>
        </w:rPr>
        <w:t xml:space="preserve">, </w:t>
      </w:r>
      <w:proofErr w:type="spellStart"/>
      <w:r>
        <w:rPr>
          <w:bCs/>
        </w:rPr>
        <w:t>pactum</w:t>
      </w:r>
      <w:proofErr w:type="spellEnd"/>
      <w:r>
        <w:rPr>
          <w:bCs/>
        </w:rPr>
        <w:t xml:space="preserve"> = smlouva </w:t>
      </w:r>
    </w:p>
    <w:p w:rsidR="00D956F1" w:rsidRDefault="00D956F1" w:rsidP="00F36D35">
      <w:pPr>
        <w:pStyle w:val="Odstavecseseznamem"/>
        <w:numPr>
          <w:ilvl w:val="0"/>
          <w:numId w:val="31"/>
        </w:numPr>
        <w:jc w:val="both"/>
        <w:rPr>
          <w:bCs/>
        </w:rPr>
      </w:pPr>
      <w:proofErr w:type="spellStart"/>
      <w:r>
        <w:rPr>
          <w:bCs/>
        </w:rPr>
        <w:t>obligatio</w:t>
      </w:r>
      <w:proofErr w:type="spellEnd"/>
      <w:r>
        <w:rPr>
          <w:bCs/>
        </w:rPr>
        <w:t xml:space="preserve"> = závazek </w:t>
      </w:r>
    </w:p>
    <w:p w:rsidR="00F55089" w:rsidRDefault="00D956F1" w:rsidP="00F55089">
      <w:pPr>
        <w:pStyle w:val="Odstavecseseznamem"/>
        <w:numPr>
          <w:ilvl w:val="0"/>
          <w:numId w:val="31"/>
        </w:numPr>
        <w:jc w:val="both"/>
        <w:rPr>
          <w:bCs/>
        </w:rPr>
      </w:pPr>
      <w:proofErr w:type="spellStart"/>
      <w:r>
        <w:rPr>
          <w:bCs/>
        </w:rPr>
        <w:t>debitum</w:t>
      </w:r>
      <w:proofErr w:type="spellEnd"/>
      <w:r>
        <w:rPr>
          <w:bCs/>
        </w:rPr>
        <w:t xml:space="preserve"> = dluh </w:t>
      </w:r>
    </w:p>
    <w:p w:rsidR="00F55089" w:rsidRDefault="00F55089" w:rsidP="00F55089">
      <w:pPr>
        <w:pStyle w:val="Odstavecseseznamem"/>
        <w:numPr>
          <w:ilvl w:val="0"/>
          <w:numId w:val="31"/>
        </w:numPr>
        <w:jc w:val="both"/>
        <w:rPr>
          <w:bCs/>
        </w:rPr>
      </w:pPr>
      <w:proofErr w:type="spellStart"/>
      <w:r>
        <w:rPr>
          <w:bCs/>
        </w:rPr>
        <w:t>procurator</w:t>
      </w:r>
      <w:proofErr w:type="spellEnd"/>
      <w:r>
        <w:rPr>
          <w:bCs/>
        </w:rPr>
        <w:t xml:space="preserve"> = státní správce majetku </w:t>
      </w:r>
    </w:p>
    <w:p w:rsidR="00F55089" w:rsidRPr="00F55089" w:rsidRDefault="00F55089" w:rsidP="00F55089">
      <w:pPr>
        <w:pStyle w:val="Odstavecseseznamem"/>
        <w:numPr>
          <w:ilvl w:val="0"/>
          <w:numId w:val="31"/>
        </w:numPr>
        <w:jc w:val="both"/>
        <w:rPr>
          <w:bCs/>
        </w:rPr>
      </w:pPr>
      <w:proofErr w:type="spellStart"/>
      <w:r w:rsidRPr="00F55089">
        <w:rPr>
          <w:bCs/>
        </w:rPr>
        <w:t>crimina</w:t>
      </w:r>
      <w:proofErr w:type="spellEnd"/>
      <w:r w:rsidRPr="00F55089">
        <w:rPr>
          <w:bCs/>
        </w:rPr>
        <w:t xml:space="preserve"> publica = činy spáchané proti </w:t>
      </w:r>
      <w:proofErr w:type="gramStart"/>
      <w:r w:rsidRPr="00F55089">
        <w:rPr>
          <w:bCs/>
        </w:rPr>
        <w:t>pospolitosti - lidu</w:t>
      </w:r>
      <w:proofErr w:type="gramEnd"/>
      <w:r w:rsidRPr="00F55089">
        <w:rPr>
          <w:bCs/>
        </w:rPr>
        <w:t xml:space="preserve">, státu </w:t>
      </w:r>
    </w:p>
    <w:p w:rsidR="00D956F1" w:rsidRPr="00F55089" w:rsidRDefault="00F55089" w:rsidP="00F55089">
      <w:pPr>
        <w:pStyle w:val="Odstavecseseznamem"/>
        <w:numPr>
          <w:ilvl w:val="0"/>
          <w:numId w:val="31"/>
        </w:numPr>
        <w:jc w:val="both"/>
        <w:rPr>
          <w:bCs/>
        </w:rPr>
      </w:pPr>
      <w:proofErr w:type="spellStart"/>
      <w:r w:rsidRPr="00F55089">
        <w:rPr>
          <w:bCs/>
        </w:rPr>
        <w:t>delicta</w:t>
      </w:r>
      <w:proofErr w:type="spellEnd"/>
      <w:r w:rsidRPr="00F55089">
        <w:rPr>
          <w:bCs/>
        </w:rPr>
        <w:t xml:space="preserve"> privata = činy proti jednotlivci, jeho rodině a majetku </w:t>
      </w:r>
    </w:p>
    <w:p w:rsidR="00FC2C4D" w:rsidRDefault="00FC2C4D" w:rsidP="0083616D">
      <w:pPr>
        <w:pStyle w:val="Odstavecseseznamem"/>
        <w:numPr>
          <w:ilvl w:val="0"/>
          <w:numId w:val="31"/>
        </w:numPr>
        <w:jc w:val="both"/>
        <w:rPr>
          <w:bCs/>
        </w:rPr>
      </w:pPr>
      <w:proofErr w:type="spellStart"/>
      <w:r>
        <w:rPr>
          <w:bCs/>
        </w:rPr>
        <w:t>traditio</w:t>
      </w:r>
      <w:proofErr w:type="spellEnd"/>
      <w:r>
        <w:rPr>
          <w:bCs/>
        </w:rPr>
        <w:t xml:space="preserve"> = neformální způsob převodu vlastnictví</w:t>
      </w:r>
      <w:r w:rsidR="00F36D35">
        <w:rPr>
          <w:bCs/>
        </w:rPr>
        <w:t xml:space="preserve">, předání </w:t>
      </w:r>
      <w:r w:rsidR="00F55089">
        <w:rPr>
          <w:bCs/>
        </w:rPr>
        <w:t xml:space="preserve">ústně či </w:t>
      </w:r>
      <w:r w:rsidR="00F36D35">
        <w:rPr>
          <w:bCs/>
        </w:rPr>
        <w:t>z ruky do ruky</w:t>
      </w:r>
    </w:p>
    <w:p w:rsidR="00C005BE" w:rsidRDefault="00FC2C4D" w:rsidP="00FC2C4D">
      <w:pPr>
        <w:pStyle w:val="Odstavecseseznamem"/>
        <w:numPr>
          <w:ilvl w:val="0"/>
          <w:numId w:val="31"/>
        </w:numPr>
        <w:jc w:val="both"/>
        <w:rPr>
          <w:bCs/>
        </w:rPr>
      </w:pPr>
      <w:r w:rsidRPr="00FC2C4D">
        <w:rPr>
          <w:bCs/>
        </w:rPr>
        <w:t xml:space="preserve">petitio = žaloba </w:t>
      </w:r>
    </w:p>
    <w:p w:rsidR="009D2AE8" w:rsidRPr="00FC2C4D" w:rsidRDefault="009D2AE8" w:rsidP="00FC2C4D">
      <w:pPr>
        <w:pStyle w:val="Odstavecseseznamem"/>
        <w:numPr>
          <w:ilvl w:val="0"/>
          <w:numId w:val="31"/>
        </w:numPr>
        <w:jc w:val="both"/>
        <w:rPr>
          <w:bCs/>
        </w:rPr>
      </w:pPr>
      <w:proofErr w:type="spellStart"/>
      <w:r>
        <w:rPr>
          <w:bCs/>
        </w:rPr>
        <w:t>detentio</w:t>
      </w:r>
      <w:proofErr w:type="spellEnd"/>
      <w:r>
        <w:rPr>
          <w:bCs/>
        </w:rPr>
        <w:t xml:space="preserve"> = faktická moc nad věcí</w:t>
      </w:r>
      <w:r w:rsidR="00ED5BA4">
        <w:rPr>
          <w:bCs/>
        </w:rPr>
        <w:t>, držba</w:t>
      </w:r>
    </w:p>
    <w:p w:rsidR="00FC2C4D" w:rsidRDefault="00FC2C4D" w:rsidP="00FC2C4D">
      <w:pPr>
        <w:pStyle w:val="Odstavecseseznamem"/>
        <w:numPr>
          <w:ilvl w:val="0"/>
          <w:numId w:val="31"/>
        </w:numPr>
        <w:rPr>
          <w:bCs/>
        </w:rPr>
      </w:pPr>
      <w:proofErr w:type="spellStart"/>
      <w:r w:rsidRPr="00FC2C4D">
        <w:rPr>
          <w:bCs/>
        </w:rPr>
        <w:t>deportatio</w:t>
      </w:r>
      <w:proofErr w:type="spellEnd"/>
      <w:r w:rsidRPr="00FC2C4D">
        <w:rPr>
          <w:bCs/>
        </w:rPr>
        <w:t xml:space="preserve"> = </w:t>
      </w:r>
      <w:r w:rsidR="009D2AE8">
        <w:rPr>
          <w:bCs/>
        </w:rPr>
        <w:t xml:space="preserve">trest </w:t>
      </w:r>
      <w:r w:rsidRPr="00FC2C4D">
        <w:rPr>
          <w:bCs/>
        </w:rPr>
        <w:t>v</w:t>
      </w:r>
      <w:r w:rsidR="00AD2DF4" w:rsidRPr="00FC2C4D">
        <w:rPr>
          <w:bCs/>
        </w:rPr>
        <w:t xml:space="preserve">yhnanství </w:t>
      </w:r>
    </w:p>
    <w:p w:rsidR="00ED5BA4" w:rsidRPr="00F55089" w:rsidRDefault="00ED5BA4" w:rsidP="00F55089">
      <w:pPr>
        <w:pStyle w:val="Odstavecseseznamem"/>
        <w:numPr>
          <w:ilvl w:val="0"/>
          <w:numId w:val="31"/>
        </w:numPr>
        <w:rPr>
          <w:bCs/>
        </w:rPr>
      </w:pPr>
      <w:proofErr w:type="spellStart"/>
      <w:r>
        <w:rPr>
          <w:bCs/>
        </w:rPr>
        <w:t>exse</w:t>
      </w:r>
      <w:r w:rsidR="00F55089">
        <w:rPr>
          <w:bCs/>
        </w:rPr>
        <w:t>cutio</w:t>
      </w:r>
      <w:proofErr w:type="spellEnd"/>
      <w:r w:rsidR="00F55089">
        <w:rPr>
          <w:bCs/>
        </w:rPr>
        <w:t xml:space="preserve"> </w:t>
      </w:r>
      <w:r>
        <w:rPr>
          <w:bCs/>
        </w:rPr>
        <w:t xml:space="preserve">= </w:t>
      </w:r>
      <w:r w:rsidR="00F55089">
        <w:rPr>
          <w:bCs/>
        </w:rPr>
        <w:t>výkon ro</w:t>
      </w:r>
      <w:r w:rsidR="00F55089" w:rsidRPr="00F55089">
        <w:rPr>
          <w:bCs/>
        </w:rPr>
        <w:t>zsudku</w:t>
      </w:r>
    </w:p>
    <w:p w:rsidR="00ED5BA4" w:rsidRDefault="00ED5BA4" w:rsidP="00FC2C4D">
      <w:pPr>
        <w:pStyle w:val="Odstavecseseznamem"/>
        <w:numPr>
          <w:ilvl w:val="0"/>
          <w:numId w:val="31"/>
        </w:numPr>
        <w:rPr>
          <w:bCs/>
        </w:rPr>
      </w:pPr>
      <w:proofErr w:type="spellStart"/>
      <w:r>
        <w:rPr>
          <w:bCs/>
        </w:rPr>
        <w:t>confiscatio</w:t>
      </w:r>
      <w:proofErr w:type="spellEnd"/>
      <w:r>
        <w:rPr>
          <w:bCs/>
        </w:rPr>
        <w:t xml:space="preserve"> = zabavení majetku, původně</w:t>
      </w:r>
      <w:r w:rsidR="00943A17">
        <w:rPr>
          <w:bCs/>
        </w:rPr>
        <w:t xml:space="preserve">: </w:t>
      </w:r>
      <w:r>
        <w:rPr>
          <w:bCs/>
        </w:rPr>
        <w:t>„uložení do koše na peníze“.</w:t>
      </w:r>
    </w:p>
    <w:p w:rsidR="00266016" w:rsidRDefault="00D956F1" w:rsidP="00D956F1">
      <w:pPr>
        <w:ind w:left="708"/>
        <w:jc w:val="both"/>
        <w:rPr>
          <w:bCs/>
          <w:sz w:val="18"/>
          <w:szCs w:val="18"/>
        </w:rPr>
      </w:pPr>
      <w:r w:rsidRPr="00D956F1">
        <w:rPr>
          <w:bCs/>
          <w:sz w:val="18"/>
          <w:szCs w:val="18"/>
        </w:rPr>
        <w:t>(Zdroj</w:t>
      </w:r>
      <w:r w:rsidR="0080127D">
        <w:rPr>
          <w:bCs/>
          <w:sz w:val="18"/>
          <w:szCs w:val="18"/>
        </w:rPr>
        <w:t xml:space="preserve"> </w:t>
      </w:r>
      <w:r w:rsidRPr="00D956F1">
        <w:rPr>
          <w:bCs/>
          <w:sz w:val="18"/>
          <w:szCs w:val="18"/>
        </w:rPr>
        <w:t>Milan Bartošek</w:t>
      </w:r>
      <w:r w:rsidR="0080127D">
        <w:rPr>
          <w:bCs/>
          <w:sz w:val="18"/>
          <w:szCs w:val="18"/>
        </w:rPr>
        <w:t xml:space="preserve">: </w:t>
      </w:r>
      <w:r w:rsidRPr="00D956F1">
        <w:rPr>
          <w:bCs/>
          <w:sz w:val="18"/>
          <w:szCs w:val="18"/>
        </w:rPr>
        <w:t>Encyklopedie římského práva)</w:t>
      </w:r>
    </w:p>
    <w:p w:rsidR="0051724C" w:rsidRPr="0051724C" w:rsidRDefault="0051724C" w:rsidP="0051724C">
      <w:pPr>
        <w:ind w:firstLine="708"/>
        <w:jc w:val="both"/>
        <w:rPr>
          <w:bCs/>
          <w:szCs w:val="24"/>
        </w:rPr>
      </w:pPr>
      <w:r w:rsidRPr="0051724C">
        <w:rPr>
          <w:bCs/>
          <w:szCs w:val="24"/>
        </w:rPr>
        <w:t xml:space="preserve">PS: Příště </w:t>
      </w:r>
      <w:r>
        <w:rPr>
          <w:bCs/>
          <w:szCs w:val="24"/>
        </w:rPr>
        <w:t>bude z římského práva kvíz.</w:t>
      </w:r>
    </w:p>
    <w:p w:rsidR="00205C71" w:rsidRPr="00373252" w:rsidRDefault="00D956F1" w:rsidP="00051E8A">
      <w:pPr>
        <w:ind w:firstLine="708"/>
        <w:jc w:val="both"/>
        <w:rPr>
          <w:bCs/>
          <w:i/>
          <w:sz w:val="20"/>
          <w:szCs w:val="20"/>
        </w:rPr>
      </w:pPr>
      <w:r w:rsidRPr="00373252">
        <w:rPr>
          <w:bCs/>
          <w:i/>
          <w:sz w:val="20"/>
          <w:szCs w:val="20"/>
        </w:rPr>
        <w:lastRenderedPageBreak/>
        <w:t>Za Sociálně-právní poradnu Nicole Fryčová a Václava Baudišová</w:t>
      </w:r>
    </w:p>
    <w:sectPr w:rsidR="00205C71" w:rsidRPr="00373252" w:rsidSect="0057338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11E" w:rsidRDefault="008A311E" w:rsidP="00477E49">
      <w:pPr>
        <w:spacing w:after="0" w:line="240" w:lineRule="auto"/>
      </w:pPr>
      <w:r>
        <w:separator/>
      </w:r>
    </w:p>
  </w:endnote>
  <w:endnote w:type="continuationSeparator" w:id="0">
    <w:p w:rsidR="008A311E" w:rsidRDefault="008A311E" w:rsidP="0047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A8" w:rsidRDefault="00CB2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33589"/>
      <w:docPartObj>
        <w:docPartGallery w:val="Page Numbers (Bottom of Page)"/>
        <w:docPartUnique/>
      </w:docPartObj>
    </w:sdtPr>
    <w:sdtEndPr/>
    <w:sdtContent>
      <w:p w:rsidR="008A311E" w:rsidRDefault="00DD6E74">
        <w:pPr>
          <w:pStyle w:val="Zpat"/>
          <w:jc w:val="center"/>
        </w:pPr>
        <w:r>
          <w:fldChar w:fldCharType="begin"/>
        </w:r>
        <w:r w:rsidR="00CB2AA8">
          <w:instrText>PAGE   \* MERGEFORMAT</w:instrText>
        </w:r>
        <w:r>
          <w:fldChar w:fldCharType="separate"/>
        </w:r>
        <w:r w:rsidR="0051724C">
          <w:rPr>
            <w:noProof/>
          </w:rPr>
          <w:t>4</w:t>
        </w:r>
        <w:r>
          <w:rPr>
            <w:noProof/>
          </w:rPr>
          <w:fldChar w:fldCharType="end"/>
        </w:r>
      </w:p>
    </w:sdtContent>
  </w:sdt>
  <w:p w:rsidR="008A311E" w:rsidRDefault="008A31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A8" w:rsidRDefault="00CB2A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11E" w:rsidRDefault="008A311E" w:rsidP="00477E49">
      <w:pPr>
        <w:spacing w:after="0" w:line="240" w:lineRule="auto"/>
      </w:pPr>
      <w:r>
        <w:separator/>
      </w:r>
    </w:p>
  </w:footnote>
  <w:footnote w:type="continuationSeparator" w:id="0">
    <w:p w:rsidR="008A311E" w:rsidRDefault="008A311E" w:rsidP="00477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A8" w:rsidRDefault="00CB2A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A8" w:rsidRDefault="00CB2AA8">
    <w:pPr>
      <w:pStyle w:val="Zhlav"/>
    </w:pPr>
  </w:p>
  <w:p w:rsidR="00CB2AA8" w:rsidRDefault="00CB2AA8">
    <w:pPr>
      <w:pStyle w:val="Zhlav"/>
    </w:pPr>
  </w:p>
  <w:p w:rsidR="00CB2AA8" w:rsidRDefault="00CB2A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A8" w:rsidRDefault="00CB2A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571"/>
    <w:multiLevelType w:val="hybridMultilevel"/>
    <w:tmpl w:val="8A984BD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061869C1"/>
    <w:multiLevelType w:val="hybridMultilevel"/>
    <w:tmpl w:val="15247652"/>
    <w:lvl w:ilvl="0" w:tplc="69DA2D08">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26738A7"/>
    <w:multiLevelType w:val="hybridMultilevel"/>
    <w:tmpl w:val="D876C8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E420CFA"/>
    <w:multiLevelType w:val="hybridMultilevel"/>
    <w:tmpl w:val="1916D8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6410BF"/>
    <w:multiLevelType w:val="hybridMultilevel"/>
    <w:tmpl w:val="7210688A"/>
    <w:lvl w:ilvl="0" w:tplc="187A80E6">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832BDE"/>
    <w:multiLevelType w:val="hybridMultilevel"/>
    <w:tmpl w:val="00A4F590"/>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6" w15:restartNumberingAfterBreak="0">
    <w:nsid w:val="1FB17D31"/>
    <w:multiLevelType w:val="hybridMultilevel"/>
    <w:tmpl w:val="C12655B6"/>
    <w:lvl w:ilvl="0" w:tplc="F230C89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0135C"/>
    <w:multiLevelType w:val="multilevel"/>
    <w:tmpl w:val="BEF66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D514A"/>
    <w:multiLevelType w:val="hybridMultilevel"/>
    <w:tmpl w:val="34E2497E"/>
    <w:lvl w:ilvl="0" w:tplc="F000E6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A07335"/>
    <w:multiLevelType w:val="hybridMultilevel"/>
    <w:tmpl w:val="F3489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974750"/>
    <w:multiLevelType w:val="hybridMultilevel"/>
    <w:tmpl w:val="0D9C8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B17E9"/>
    <w:multiLevelType w:val="hybridMultilevel"/>
    <w:tmpl w:val="3B72CF0E"/>
    <w:lvl w:ilvl="0" w:tplc="141260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F017301"/>
    <w:multiLevelType w:val="hybridMultilevel"/>
    <w:tmpl w:val="CAF81A8E"/>
    <w:lvl w:ilvl="0" w:tplc="3A7AAAEC">
      <w:start w:val="1"/>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3" w15:restartNumberingAfterBreak="0">
    <w:nsid w:val="2FA46161"/>
    <w:multiLevelType w:val="hybridMultilevel"/>
    <w:tmpl w:val="2FD8BEE0"/>
    <w:lvl w:ilvl="0" w:tplc="68FE5EFA">
      <w:start w:val="3"/>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2DE2D69"/>
    <w:multiLevelType w:val="hybridMultilevel"/>
    <w:tmpl w:val="B546E0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77B9C"/>
    <w:multiLevelType w:val="hybridMultilevel"/>
    <w:tmpl w:val="A4E6A038"/>
    <w:lvl w:ilvl="0" w:tplc="10EEE7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F07E78"/>
    <w:multiLevelType w:val="multilevel"/>
    <w:tmpl w:val="C55604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6C4B28"/>
    <w:multiLevelType w:val="hybridMultilevel"/>
    <w:tmpl w:val="714E1AC4"/>
    <w:lvl w:ilvl="0" w:tplc="6CE274E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E834CA9"/>
    <w:multiLevelType w:val="multilevel"/>
    <w:tmpl w:val="C55604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AE7A3C"/>
    <w:multiLevelType w:val="hybridMultilevel"/>
    <w:tmpl w:val="C0C28226"/>
    <w:lvl w:ilvl="0" w:tplc="485681A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27E6F1A"/>
    <w:multiLevelType w:val="hybridMultilevel"/>
    <w:tmpl w:val="59FC7ABA"/>
    <w:lvl w:ilvl="0" w:tplc="C34E1A96">
      <w:start w:val="1"/>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C894F67"/>
    <w:multiLevelType w:val="multilevel"/>
    <w:tmpl w:val="CDC6C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7652C"/>
    <w:multiLevelType w:val="hybridMultilevel"/>
    <w:tmpl w:val="1CF8CA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5024DF"/>
    <w:multiLevelType w:val="hybridMultilevel"/>
    <w:tmpl w:val="69C29B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E132F5"/>
    <w:multiLevelType w:val="hybridMultilevel"/>
    <w:tmpl w:val="4BB82156"/>
    <w:lvl w:ilvl="0" w:tplc="9F4A7F8E">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5" w15:restartNumberingAfterBreak="0">
    <w:nsid w:val="6ACF4F29"/>
    <w:multiLevelType w:val="hybridMultilevel"/>
    <w:tmpl w:val="5DF4B4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335902"/>
    <w:multiLevelType w:val="hybridMultilevel"/>
    <w:tmpl w:val="42FE6E7E"/>
    <w:lvl w:ilvl="0" w:tplc="9D60E03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45A0333"/>
    <w:multiLevelType w:val="hybridMultilevel"/>
    <w:tmpl w:val="F2A691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597F88"/>
    <w:multiLevelType w:val="hybridMultilevel"/>
    <w:tmpl w:val="ABF4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5F1F7F"/>
    <w:multiLevelType w:val="hybridMultilevel"/>
    <w:tmpl w:val="11729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BAE235A"/>
    <w:multiLevelType w:val="multilevel"/>
    <w:tmpl w:val="BE9A9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5"/>
  </w:num>
  <w:num w:numId="4">
    <w:abstractNumId w:val="13"/>
  </w:num>
  <w:num w:numId="5">
    <w:abstractNumId w:val="20"/>
  </w:num>
  <w:num w:numId="6">
    <w:abstractNumId w:val="1"/>
  </w:num>
  <w:num w:numId="7">
    <w:abstractNumId w:val="27"/>
  </w:num>
  <w:num w:numId="8">
    <w:abstractNumId w:val="19"/>
  </w:num>
  <w:num w:numId="9">
    <w:abstractNumId w:val="14"/>
  </w:num>
  <w:num w:numId="10">
    <w:abstractNumId w:val="11"/>
  </w:num>
  <w:num w:numId="11">
    <w:abstractNumId w:val="28"/>
  </w:num>
  <w:num w:numId="12">
    <w:abstractNumId w:val="26"/>
  </w:num>
  <w:num w:numId="13">
    <w:abstractNumId w:val="3"/>
  </w:num>
  <w:num w:numId="14">
    <w:abstractNumId w:val="17"/>
  </w:num>
  <w:num w:numId="15">
    <w:abstractNumId w:val="22"/>
  </w:num>
  <w:num w:numId="16">
    <w:abstractNumId w:val="5"/>
  </w:num>
  <w:num w:numId="17">
    <w:abstractNumId w:val="2"/>
  </w:num>
  <w:num w:numId="18">
    <w:abstractNumId w:val="9"/>
  </w:num>
  <w:num w:numId="19">
    <w:abstractNumId w:val="18"/>
  </w:num>
  <w:num w:numId="20">
    <w:abstractNumId w:val="16"/>
  </w:num>
  <w:num w:numId="21">
    <w:abstractNumId w:val="12"/>
  </w:num>
  <w:num w:numId="22">
    <w:abstractNumId w:val="7"/>
  </w:num>
  <w:num w:numId="23">
    <w:abstractNumId w:val="30"/>
  </w:num>
  <w:num w:numId="24">
    <w:abstractNumId w:val="21"/>
  </w:num>
  <w:num w:numId="25">
    <w:abstractNumId w:val="15"/>
  </w:num>
  <w:num w:numId="26">
    <w:abstractNumId w:val="10"/>
  </w:num>
  <w:num w:numId="27">
    <w:abstractNumId w:val="6"/>
  </w:num>
  <w:num w:numId="28">
    <w:abstractNumId w:val="24"/>
  </w:num>
  <w:num w:numId="29">
    <w:abstractNumId w:val="0"/>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59"/>
    <w:rsid w:val="000016D0"/>
    <w:rsid w:val="0000218C"/>
    <w:rsid w:val="000055BE"/>
    <w:rsid w:val="00006BAF"/>
    <w:rsid w:val="00016E0D"/>
    <w:rsid w:val="00017F32"/>
    <w:rsid w:val="00020F18"/>
    <w:rsid w:val="000210CC"/>
    <w:rsid w:val="00021944"/>
    <w:rsid w:val="00031340"/>
    <w:rsid w:val="0003307D"/>
    <w:rsid w:val="000365AE"/>
    <w:rsid w:val="00036662"/>
    <w:rsid w:val="00040801"/>
    <w:rsid w:val="00044E25"/>
    <w:rsid w:val="000513AA"/>
    <w:rsid w:val="00051E8A"/>
    <w:rsid w:val="00052788"/>
    <w:rsid w:val="000532E2"/>
    <w:rsid w:val="00054A90"/>
    <w:rsid w:val="00055AB7"/>
    <w:rsid w:val="00057996"/>
    <w:rsid w:val="00060EF4"/>
    <w:rsid w:val="0007068A"/>
    <w:rsid w:val="00070C22"/>
    <w:rsid w:val="0007238B"/>
    <w:rsid w:val="000724C0"/>
    <w:rsid w:val="000755B1"/>
    <w:rsid w:val="00085898"/>
    <w:rsid w:val="00085F64"/>
    <w:rsid w:val="0008664B"/>
    <w:rsid w:val="0008772B"/>
    <w:rsid w:val="00095A33"/>
    <w:rsid w:val="000A06F8"/>
    <w:rsid w:val="000A0C6A"/>
    <w:rsid w:val="000A7416"/>
    <w:rsid w:val="000B0573"/>
    <w:rsid w:val="000B28CD"/>
    <w:rsid w:val="000B2EB7"/>
    <w:rsid w:val="000B31E0"/>
    <w:rsid w:val="000C37AD"/>
    <w:rsid w:val="000C38B0"/>
    <w:rsid w:val="000C4A91"/>
    <w:rsid w:val="000C71D7"/>
    <w:rsid w:val="000D7945"/>
    <w:rsid w:val="000E390E"/>
    <w:rsid w:val="000F10C9"/>
    <w:rsid w:val="000F5710"/>
    <w:rsid w:val="000F7AE5"/>
    <w:rsid w:val="00101B03"/>
    <w:rsid w:val="00104BD0"/>
    <w:rsid w:val="001131C0"/>
    <w:rsid w:val="00113BCC"/>
    <w:rsid w:val="0011641D"/>
    <w:rsid w:val="001174A0"/>
    <w:rsid w:val="0011767A"/>
    <w:rsid w:val="00117CF1"/>
    <w:rsid w:val="00122523"/>
    <w:rsid w:val="00122E50"/>
    <w:rsid w:val="001233B3"/>
    <w:rsid w:val="00125EF2"/>
    <w:rsid w:val="00127052"/>
    <w:rsid w:val="00131AF8"/>
    <w:rsid w:val="00136903"/>
    <w:rsid w:val="001531D6"/>
    <w:rsid w:val="00156479"/>
    <w:rsid w:val="00157652"/>
    <w:rsid w:val="001614EF"/>
    <w:rsid w:val="001756D6"/>
    <w:rsid w:val="00175860"/>
    <w:rsid w:val="001779C9"/>
    <w:rsid w:val="001801AC"/>
    <w:rsid w:val="00190B0C"/>
    <w:rsid w:val="0019286E"/>
    <w:rsid w:val="001A1C65"/>
    <w:rsid w:val="001A3CD1"/>
    <w:rsid w:val="001A426E"/>
    <w:rsid w:val="001B41F4"/>
    <w:rsid w:val="001B707A"/>
    <w:rsid w:val="001C12AA"/>
    <w:rsid w:val="001C2E0A"/>
    <w:rsid w:val="001C685D"/>
    <w:rsid w:val="001D09F5"/>
    <w:rsid w:val="001D2221"/>
    <w:rsid w:val="001D2BA5"/>
    <w:rsid w:val="001D7D81"/>
    <w:rsid w:val="001E091E"/>
    <w:rsid w:val="001E0E0B"/>
    <w:rsid w:val="001E355D"/>
    <w:rsid w:val="001E5B7F"/>
    <w:rsid w:val="001E6CE1"/>
    <w:rsid w:val="001F0F7F"/>
    <w:rsid w:val="001F203A"/>
    <w:rsid w:val="00205C71"/>
    <w:rsid w:val="00206859"/>
    <w:rsid w:val="00212098"/>
    <w:rsid w:val="00222041"/>
    <w:rsid w:val="0022233D"/>
    <w:rsid w:val="00223219"/>
    <w:rsid w:val="00225315"/>
    <w:rsid w:val="00227D9D"/>
    <w:rsid w:val="00230574"/>
    <w:rsid w:val="0023110A"/>
    <w:rsid w:val="00231A1B"/>
    <w:rsid w:val="00232FE5"/>
    <w:rsid w:val="0023358A"/>
    <w:rsid w:val="00243D39"/>
    <w:rsid w:val="00245929"/>
    <w:rsid w:val="00246068"/>
    <w:rsid w:val="00252212"/>
    <w:rsid w:val="00254128"/>
    <w:rsid w:val="00266016"/>
    <w:rsid w:val="00266B11"/>
    <w:rsid w:val="0027234C"/>
    <w:rsid w:val="002746AE"/>
    <w:rsid w:val="00274B3E"/>
    <w:rsid w:val="00275331"/>
    <w:rsid w:val="00276061"/>
    <w:rsid w:val="00280DC3"/>
    <w:rsid w:val="00281FC8"/>
    <w:rsid w:val="00282B06"/>
    <w:rsid w:val="00292415"/>
    <w:rsid w:val="002941B1"/>
    <w:rsid w:val="00296DE7"/>
    <w:rsid w:val="002A5A08"/>
    <w:rsid w:val="002A69BE"/>
    <w:rsid w:val="002B2CF9"/>
    <w:rsid w:val="002B57CF"/>
    <w:rsid w:val="002B5AF3"/>
    <w:rsid w:val="002C68E0"/>
    <w:rsid w:val="002C76BB"/>
    <w:rsid w:val="002E4290"/>
    <w:rsid w:val="002E6CD7"/>
    <w:rsid w:val="002F0F9D"/>
    <w:rsid w:val="002F3B67"/>
    <w:rsid w:val="002F427B"/>
    <w:rsid w:val="002F7AAD"/>
    <w:rsid w:val="002F7FC7"/>
    <w:rsid w:val="003002B7"/>
    <w:rsid w:val="00300E63"/>
    <w:rsid w:val="003112FC"/>
    <w:rsid w:val="00314B61"/>
    <w:rsid w:val="00314FCC"/>
    <w:rsid w:val="00322AB6"/>
    <w:rsid w:val="003300FF"/>
    <w:rsid w:val="0033208B"/>
    <w:rsid w:val="003334E6"/>
    <w:rsid w:val="0033621A"/>
    <w:rsid w:val="00337472"/>
    <w:rsid w:val="0034639A"/>
    <w:rsid w:val="00347929"/>
    <w:rsid w:val="00351D91"/>
    <w:rsid w:val="0035391F"/>
    <w:rsid w:val="00361502"/>
    <w:rsid w:val="00361B38"/>
    <w:rsid w:val="00370DA0"/>
    <w:rsid w:val="00373252"/>
    <w:rsid w:val="0037495D"/>
    <w:rsid w:val="00377B4C"/>
    <w:rsid w:val="00386077"/>
    <w:rsid w:val="0038632B"/>
    <w:rsid w:val="0039068E"/>
    <w:rsid w:val="00394FDF"/>
    <w:rsid w:val="003A3D67"/>
    <w:rsid w:val="003B11F7"/>
    <w:rsid w:val="003B2A44"/>
    <w:rsid w:val="003C44DE"/>
    <w:rsid w:val="003C6520"/>
    <w:rsid w:val="003D3852"/>
    <w:rsid w:val="003E20E1"/>
    <w:rsid w:val="003E475F"/>
    <w:rsid w:val="003E7F76"/>
    <w:rsid w:val="003F5C20"/>
    <w:rsid w:val="004021B4"/>
    <w:rsid w:val="00405569"/>
    <w:rsid w:val="004101A3"/>
    <w:rsid w:val="00414719"/>
    <w:rsid w:val="004160E4"/>
    <w:rsid w:val="00420669"/>
    <w:rsid w:val="00420B06"/>
    <w:rsid w:val="00425DF5"/>
    <w:rsid w:val="004313B9"/>
    <w:rsid w:val="00435B58"/>
    <w:rsid w:val="0044126D"/>
    <w:rsid w:val="0044197A"/>
    <w:rsid w:val="004420B5"/>
    <w:rsid w:val="0044392E"/>
    <w:rsid w:val="00445360"/>
    <w:rsid w:val="00445E7F"/>
    <w:rsid w:val="004475D7"/>
    <w:rsid w:val="004501B0"/>
    <w:rsid w:val="0045096E"/>
    <w:rsid w:val="004571B9"/>
    <w:rsid w:val="00457886"/>
    <w:rsid w:val="0046459B"/>
    <w:rsid w:val="004709F5"/>
    <w:rsid w:val="00471EC4"/>
    <w:rsid w:val="00474952"/>
    <w:rsid w:val="00477E49"/>
    <w:rsid w:val="00480657"/>
    <w:rsid w:val="00485A06"/>
    <w:rsid w:val="0048627F"/>
    <w:rsid w:val="0048739B"/>
    <w:rsid w:val="004879F7"/>
    <w:rsid w:val="004900CE"/>
    <w:rsid w:val="00490A9B"/>
    <w:rsid w:val="00491574"/>
    <w:rsid w:val="004932EE"/>
    <w:rsid w:val="004A2ECF"/>
    <w:rsid w:val="004A327A"/>
    <w:rsid w:val="004A5166"/>
    <w:rsid w:val="004B709B"/>
    <w:rsid w:val="004C4B3B"/>
    <w:rsid w:val="004E2294"/>
    <w:rsid w:val="004E4A02"/>
    <w:rsid w:val="004E55EB"/>
    <w:rsid w:val="004E5DE2"/>
    <w:rsid w:val="004E65EC"/>
    <w:rsid w:val="004E6DC5"/>
    <w:rsid w:val="004F13EB"/>
    <w:rsid w:val="004F1DB7"/>
    <w:rsid w:val="004F3556"/>
    <w:rsid w:val="004F6DE0"/>
    <w:rsid w:val="00505B39"/>
    <w:rsid w:val="00505B54"/>
    <w:rsid w:val="005109EE"/>
    <w:rsid w:val="00513801"/>
    <w:rsid w:val="00516528"/>
    <w:rsid w:val="005171AD"/>
    <w:rsid w:val="0051724C"/>
    <w:rsid w:val="0052279B"/>
    <w:rsid w:val="00527A19"/>
    <w:rsid w:val="00531AD1"/>
    <w:rsid w:val="00532153"/>
    <w:rsid w:val="005338CF"/>
    <w:rsid w:val="00536C79"/>
    <w:rsid w:val="00540F91"/>
    <w:rsid w:val="00543860"/>
    <w:rsid w:val="00551298"/>
    <w:rsid w:val="005548B5"/>
    <w:rsid w:val="00555107"/>
    <w:rsid w:val="00555A15"/>
    <w:rsid w:val="00555E18"/>
    <w:rsid w:val="00555F95"/>
    <w:rsid w:val="00557EEE"/>
    <w:rsid w:val="005604DE"/>
    <w:rsid w:val="00561613"/>
    <w:rsid w:val="005622B1"/>
    <w:rsid w:val="005631B8"/>
    <w:rsid w:val="0056633D"/>
    <w:rsid w:val="00573388"/>
    <w:rsid w:val="00575DD2"/>
    <w:rsid w:val="00576805"/>
    <w:rsid w:val="00580D14"/>
    <w:rsid w:val="005813CE"/>
    <w:rsid w:val="005828ED"/>
    <w:rsid w:val="00584B5B"/>
    <w:rsid w:val="0059079A"/>
    <w:rsid w:val="005A6952"/>
    <w:rsid w:val="005B2DAE"/>
    <w:rsid w:val="005C0316"/>
    <w:rsid w:val="005C0E8B"/>
    <w:rsid w:val="005C1583"/>
    <w:rsid w:val="005C78B2"/>
    <w:rsid w:val="005D0A2A"/>
    <w:rsid w:val="005D121D"/>
    <w:rsid w:val="005D397F"/>
    <w:rsid w:val="005D43B7"/>
    <w:rsid w:val="005D4C26"/>
    <w:rsid w:val="005D7AF6"/>
    <w:rsid w:val="005F0A7A"/>
    <w:rsid w:val="005F0DCE"/>
    <w:rsid w:val="005F0E18"/>
    <w:rsid w:val="005F516B"/>
    <w:rsid w:val="00601B5E"/>
    <w:rsid w:val="00605A2A"/>
    <w:rsid w:val="006115CF"/>
    <w:rsid w:val="00614A7C"/>
    <w:rsid w:val="00617BB0"/>
    <w:rsid w:val="00621E21"/>
    <w:rsid w:val="006256C5"/>
    <w:rsid w:val="006258B7"/>
    <w:rsid w:val="00626D59"/>
    <w:rsid w:val="00626EEC"/>
    <w:rsid w:val="00631E40"/>
    <w:rsid w:val="00642AEF"/>
    <w:rsid w:val="00652BF4"/>
    <w:rsid w:val="00653879"/>
    <w:rsid w:val="0065744C"/>
    <w:rsid w:val="00657680"/>
    <w:rsid w:val="00660B90"/>
    <w:rsid w:val="00660C7F"/>
    <w:rsid w:val="00660F21"/>
    <w:rsid w:val="00662869"/>
    <w:rsid w:val="00665946"/>
    <w:rsid w:val="00666635"/>
    <w:rsid w:val="006669A3"/>
    <w:rsid w:val="00671B07"/>
    <w:rsid w:val="006761CA"/>
    <w:rsid w:val="006779D2"/>
    <w:rsid w:val="00680CDE"/>
    <w:rsid w:val="00681E48"/>
    <w:rsid w:val="0068461D"/>
    <w:rsid w:val="006868CD"/>
    <w:rsid w:val="006943E0"/>
    <w:rsid w:val="0069660F"/>
    <w:rsid w:val="006C0DA5"/>
    <w:rsid w:val="006D5F0A"/>
    <w:rsid w:val="006E0358"/>
    <w:rsid w:val="006E1645"/>
    <w:rsid w:val="006E4FD0"/>
    <w:rsid w:val="006F17B3"/>
    <w:rsid w:val="006F5FF9"/>
    <w:rsid w:val="0070730C"/>
    <w:rsid w:val="00711703"/>
    <w:rsid w:val="00712649"/>
    <w:rsid w:val="00715F1D"/>
    <w:rsid w:val="00717756"/>
    <w:rsid w:val="007203FC"/>
    <w:rsid w:val="00720936"/>
    <w:rsid w:val="007212CF"/>
    <w:rsid w:val="0073120C"/>
    <w:rsid w:val="00732274"/>
    <w:rsid w:val="007356B6"/>
    <w:rsid w:val="007374C7"/>
    <w:rsid w:val="00751E9A"/>
    <w:rsid w:val="00756830"/>
    <w:rsid w:val="0076013A"/>
    <w:rsid w:val="00763950"/>
    <w:rsid w:val="0076413A"/>
    <w:rsid w:val="00767206"/>
    <w:rsid w:val="0076732A"/>
    <w:rsid w:val="00780EDC"/>
    <w:rsid w:val="00783FBB"/>
    <w:rsid w:val="00785B37"/>
    <w:rsid w:val="00787193"/>
    <w:rsid w:val="00790976"/>
    <w:rsid w:val="00790A69"/>
    <w:rsid w:val="00796A82"/>
    <w:rsid w:val="007A16A9"/>
    <w:rsid w:val="007B1A66"/>
    <w:rsid w:val="007B34DC"/>
    <w:rsid w:val="007B5D60"/>
    <w:rsid w:val="007C22F9"/>
    <w:rsid w:val="007C3D81"/>
    <w:rsid w:val="007C5769"/>
    <w:rsid w:val="007C771F"/>
    <w:rsid w:val="007D3042"/>
    <w:rsid w:val="007E0290"/>
    <w:rsid w:val="007E1C26"/>
    <w:rsid w:val="007E2EF8"/>
    <w:rsid w:val="007E5D19"/>
    <w:rsid w:val="007F33C1"/>
    <w:rsid w:val="007F4AF5"/>
    <w:rsid w:val="007F4E06"/>
    <w:rsid w:val="007F6D92"/>
    <w:rsid w:val="007F6DAF"/>
    <w:rsid w:val="007F7A12"/>
    <w:rsid w:val="0080127D"/>
    <w:rsid w:val="00802D6B"/>
    <w:rsid w:val="00805457"/>
    <w:rsid w:val="008131B9"/>
    <w:rsid w:val="008149B4"/>
    <w:rsid w:val="00815A6C"/>
    <w:rsid w:val="00815D99"/>
    <w:rsid w:val="0081739A"/>
    <w:rsid w:val="008266E0"/>
    <w:rsid w:val="00826EAF"/>
    <w:rsid w:val="00830620"/>
    <w:rsid w:val="0083403D"/>
    <w:rsid w:val="00834E9D"/>
    <w:rsid w:val="0083616D"/>
    <w:rsid w:val="00836AA1"/>
    <w:rsid w:val="0083724E"/>
    <w:rsid w:val="00837E14"/>
    <w:rsid w:val="008427D2"/>
    <w:rsid w:val="00844BD2"/>
    <w:rsid w:val="00844FB5"/>
    <w:rsid w:val="00852C50"/>
    <w:rsid w:val="008635EA"/>
    <w:rsid w:val="00863EB8"/>
    <w:rsid w:val="00875247"/>
    <w:rsid w:val="00880BFC"/>
    <w:rsid w:val="00887514"/>
    <w:rsid w:val="00890C0B"/>
    <w:rsid w:val="00892497"/>
    <w:rsid w:val="008924F5"/>
    <w:rsid w:val="00895D23"/>
    <w:rsid w:val="008A311E"/>
    <w:rsid w:val="008A4901"/>
    <w:rsid w:val="008A5CE1"/>
    <w:rsid w:val="008C0B78"/>
    <w:rsid w:val="008C3644"/>
    <w:rsid w:val="008C5AEA"/>
    <w:rsid w:val="008D0B34"/>
    <w:rsid w:val="008D2210"/>
    <w:rsid w:val="008D237A"/>
    <w:rsid w:val="008D28FD"/>
    <w:rsid w:val="008D78AD"/>
    <w:rsid w:val="008E401A"/>
    <w:rsid w:val="008F478F"/>
    <w:rsid w:val="008F6AA8"/>
    <w:rsid w:val="008F7D83"/>
    <w:rsid w:val="00901047"/>
    <w:rsid w:val="0090146E"/>
    <w:rsid w:val="00901E3A"/>
    <w:rsid w:val="009113A5"/>
    <w:rsid w:val="00914EB3"/>
    <w:rsid w:val="009228DB"/>
    <w:rsid w:val="00925C70"/>
    <w:rsid w:val="009315DD"/>
    <w:rsid w:val="009319C7"/>
    <w:rsid w:val="009324CB"/>
    <w:rsid w:val="009343D5"/>
    <w:rsid w:val="009372D4"/>
    <w:rsid w:val="00942BFE"/>
    <w:rsid w:val="00943A17"/>
    <w:rsid w:val="0094585A"/>
    <w:rsid w:val="0094768E"/>
    <w:rsid w:val="0095077E"/>
    <w:rsid w:val="009532AC"/>
    <w:rsid w:val="00960E90"/>
    <w:rsid w:val="00962E1B"/>
    <w:rsid w:val="00976DC8"/>
    <w:rsid w:val="009810FD"/>
    <w:rsid w:val="00982269"/>
    <w:rsid w:val="00982738"/>
    <w:rsid w:val="00983387"/>
    <w:rsid w:val="00983EDB"/>
    <w:rsid w:val="0098711F"/>
    <w:rsid w:val="00990DFB"/>
    <w:rsid w:val="00991CAA"/>
    <w:rsid w:val="00992521"/>
    <w:rsid w:val="009A1AB3"/>
    <w:rsid w:val="009A40B7"/>
    <w:rsid w:val="009A650C"/>
    <w:rsid w:val="009B06FA"/>
    <w:rsid w:val="009B3470"/>
    <w:rsid w:val="009B388C"/>
    <w:rsid w:val="009B3DDB"/>
    <w:rsid w:val="009B6F31"/>
    <w:rsid w:val="009C1764"/>
    <w:rsid w:val="009C1AA9"/>
    <w:rsid w:val="009C219B"/>
    <w:rsid w:val="009C5348"/>
    <w:rsid w:val="009C67CE"/>
    <w:rsid w:val="009D0DED"/>
    <w:rsid w:val="009D2AE8"/>
    <w:rsid w:val="009D33FA"/>
    <w:rsid w:val="009D76C4"/>
    <w:rsid w:val="009E04B8"/>
    <w:rsid w:val="009E323B"/>
    <w:rsid w:val="009E3516"/>
    <w:rsid w:val="009E496E"/>
    <w:rsid w:val="009F0C99"/>
    <w:rsid w:val="009F10B2"/>
    <w:rsid w:val="00A00DD5"/>
    <w:rsid w:val="00A01525"/>
    <w:rsid w:val="00A04154"/>
    <w:rsid w:val="00A05BC6"/>
    <w:rsid w:val="00A066EF"/>
    <w:rsid w:val="00A0716E"/>
    <w:rsid w:val="00A10B61"/>
    <w:rsid w:val="00A10C7B"/>
    <w:rsid w:val="00A13BED"/>
    <w:rsid w:val="00A14F83"/>
    <w:rsid w:val="00A1787D"/>
    <w:rsid w:val="00A200B6"/>
    <w:rsid w:val="00A2100D"/>
    <w:rsid w:val="00A25DD5"/>
    <w:rsid w:val="00A330F4"/>
    <w:rsid w:val="00A44DCB"/>
    <w:rsid w:val="00A46624"/>
    <w:rsid w:val="00A478C8"/>
    <w:rsid w:val="00A51E88"/>
    <w:rsid w:val="00A5202F"/>
    <w:rsid w:val="00A551E0"/>
    <w:rsid w:val="00A764AF"/>
    <w:rsid w:val="00A776B2"/>
    <w:rsid w:val="00A81E4C"/>
    <w:rsid w:val="00A939C5"/>
    <w:rsid w:val="00A94DF9"/>
    <w:rsid w:val="00A96562"/>
    <w:rsid w:val="00A96754"/>
    <w:rsid w:val="00AA1A2A"/>
    <w:rsid w:val="00AB3C0B"/>
    <w:rsid w:val="00AC075A"/>
    <w:rsid w:val="00AC7A21"/>
    <w:rsid w:val="00AC7B38"/>
    <w:rsid w:val="00AD06A3"/>
    <w:rsid w:val="00AD2DF4"/>
    <w:rsid w:val="00AD3568"/>
    <w:rsid w:val="00AD4A03"/>
    <w:rsid w:val="00AD4AA0"/>
    <w:rsid w:val="00AD6B6B"/>
    <w:rsid w:val="00AE4F53"/>
    <w:rsid w:val="00AE53B8"/>
    <w:rsid w:val="00AE77B1"/>
    <w:rsid w:val="00AE7D2B"/>
    <w:rsid w:val="00AF2DCE"/>
    <w:rsid w:val="00B01D0A"/>
    <w:rsid w:val="00B10A3F"/>
    <w:rsid w:val="00B14ECF"/>
    <w:rsid w:val="00B1531C"/>
    <w:rsid w:val="00B17FD1"/>
    <w:rsid w:val="00B237F0"/>
    <w:rsid w:val="00B2640D"/>
    <w:rsid w:val="00B27483"/>
    <w:rsid w:val="00B32B93"/>
    <w:rsid w:val="00B33254"/>
    <w:rsid w:val="00B35032"/>
    <w:rsid w:val="00B37C8B"/>
    <w:rsid w:val="00B440C0"/>
    <w:rsid w:val="00B4641F"/>
    <w:rsid w:val="00B464C7"/>
    <w:rsid w:val="00B50119"/>
    <w:rsid w:val="00B52138"/>
    <w:rsid w:val="00B6151E"/>
    <w:rsid w:val="00B636C1"/>
    <w:rsid w:val="00B64CC8"/>
    <w:rsid w:val="00B72824"/>
    <w:rsid w:val="00B74EC1"/>
    <w:rsid w:val="00B81F8B"/>
    <w:rsid w:val="00B831D5"/>
    <w:rsid w:val="00B83300"/>
    <w:rsid w:val="00B87E1E"/>
    <w:rsid w:val="00B9056C"/>
    <w:rsid w:val="00BA08A5"/>
    <w:rsid w:val="00BA21A0"/>
    <w:rsid w:val="00BA34DC"/>
    <w:rsid w:val="00BA41B2"/>
    <w:rsid w:val="00BB0767"/>
    <w:rsid w:val="00BB096E"/>
    <w:rsid w:val="00BB3D58"/>
    <w:rsid w:val="00BC4284"/>
    <w:rsid w:val="00BC5285"/>
    <w:rsid w:val="00BC5919"/>
    <w:rsid w:val="00BC5B64"/>
    <w:rsid w:val="00BE1209"/>
    <w:rsid w:val="00BE1DF3"/>
    <w:rsid w:val="00BE5B61"/>
    <w:rsid w:val="00BE638F"/>
    <w:rsid w:val="00BF0425"/>
    <w:rsid w:val="00BF532A"/>
    <w:rsid w:val="00C005BE"/>
    <w:rsid w:val="00C01976"/>
    <w:rsid w:val="00C04B34"/>
    <w:rsid w:val="00C04CF3"/>
    <w:rsid w:val="00C16BCD"/>
    <w:rsid w:val="00C17654"/>
    <w:rsid w:val="00C20F17"/>
    <w:rsid w:val="00C212C0"/>
    <w:rsid w:val="00C225DB"/>
    <w:rsid w:val="00C306AF"/>
    <w:rsid w:val="00C32118"/>
    <w:rsid w:val="00C32121"/>
    <w:rsid w:val="00C41FD1"/>
    <w:rsid w:val="00C60AB2"/>
    <w:rsid w:val="00C61C52"/>
    <w:rsid w:val="00C70542"/>
    <w:rsid w:val="00C73548"/>
    <w:rsid w:val="00C742D2"/>
    <w:rsid w:val="00C7436A"/>
    <w:rsid w:val="00C77D97"/>
    <w:rsid w:val="00C80CF4"/>
    <w:rsid w:val="00C80F92"/>
    <w:rsid w:val="00C81728"/>
    <w:rsid w:val="00C8456B"/>
    <w:rsid w:val="00C85631"/>
    <w:rsid w:val="00CA1665"/>
    <w:rsid w:val="00CA472D"/>
    <w:rsid w:val="00CA7639"/>
    <w:rsid w:val="00CB06E0"/>
    <w:rsid w:val="00CB0814"/>
    <w:rsid w:val="00CB2AA8"/>
    <w:rsid w:val="00CB30FB"/>
    <w:rsid w:val="00CB69DA"/>
    <w:rsid w:val="00CB7950"/>
    <w:rsid w:val="00CD369E"/>
    <w:rsid w:val="00CD3977"/>
    <w:rsid w:val="00CD3F7D"/>
    <w:rsid w:val="00CE0EBD"/>
    <w:rsid w:val="00CE1C99"/>
    <w:rsid w:val="00CE1D42"/>
    <w:rsid w:val="00CE34BB"/>
    <w:rsid w:val="00CE3583"/>
    <w:rsid w:val="00CE3DD9"/>
    <w:rsid w:val="00CF1DA0"/>
    <w:rsid w:val="00CF39D5"/>
    <w:rsid w:val="00CF551A"/>
    <w:rsid w:val="00CF6524"/>
    <w:rsid w:val="00D033DD"/>
    <w:rsid w:val="00D0387B"/>
    <w:rsid w:val="00D04CAC"/>
    <w:rsid w:val="00D06277"/>
    <w:rsid w:val="00D062EF"/>
    <w:rsid w:val="00D12BCD"/>
    <w:rsid w:val="00D16B77"/>
    <w:rsid w:val="00D22414"/>
    <w:rsid w:val="00D246F0"/>
    <w:rsid w:val="00D250BE"/>
    <w:rsid w:val="00D25750"/>
    <w:rsid w:val="00D272A9"/>
    <w:rsid w:val="00D30786"/>
    <w:rsid w:val="00D32FE3"/>
    <w:rsid w:val="00D363FE"/>
    <w:rsid w:val="00D4486F"/>
    <w:rsid w:val="00D4491E"/>
    <w:rsid w:val="00D47AED"/>
    <w:rsid w:val="00D50780"/>
    <w:rsid w:val="00D51591"/>
    <w:rsid w:val="00D745CF"/>
    <w:rsid w:val="00D77B58"/>
    <w:rsid w:val="00D832C5"/>
    <w:rsid w:val="00D956F1"/>
    <w:rsid w:val="00D95CFB"/>
    <w:rsid w:val="00D97781"/>
    <w:rsid w:val="00DB18FD"/>
    <w:rsid w:val="00DB401D"/>
    <w:rsid w:val="00DB4B88"/>
    <w:rsid w:val="00DB7A03"/>
    <w:rsid w:val="00DC40A6"/>
    <w:rsid w:val="00DC51E1"/>
    <w:rsid w:val="00DC7A3D"/>
    <w:rsid w:val="00DD1693"/>
    <w:rsid w:val="00DD2E9B"/>
    <w:rsid w:val="00DD6E74"/>
    <w:rsid w:val="00DE2B0A"/>
    <w:rsid w:val="00DF0ED1"/>
    <w:rsid w:val="00DF5ECE"/>
    <w:rsid w:val="00E01447"/>
    <w:rsid w:val="00E01992"/>
    <w:rsid w:val="00E03DF7"/>
    <w:rsid w:val="00E1066A"/>
    <w:rsid w:val="00E151B6"/>
    <w:rsid w:val="00E227DD"/>
    <w:rsid w:val="00E23535"/>
    <w:rsid w:val="00E260B3"/>
    <w:rsid w:val="00E30291"/>
    <w:rsid w:val="00E314A3"/>
    <w:rsid w:val="00E320EF"/>
    <w:rsid w:val="00E47A86"/>
    <w:rsid w:val="00E56ECF"/>
    <w:rsid w:val="00E60A48"/>
    <w:rsid w:val="00E61E24"/>
    <w:rsid w:val="00E628E7"/>
    <w:rsid w:val="00E72D9A"/>
    <w:rsid w:val="00E751FE"/>
    <w:rsid w:val="00E80784"/>
    <w:rsid w:val="00E836A6"/>
    <w:rsid w:val="00E8638F"/>
    <w:rsid w:val="00E91E96"/>
    <w:rsid w:val="00E929FD"/>
    <w:rsid w:val="00E9470F"/>
    <w:rsid w:val="00E95D6D"/>
    <w:rsid w:val="00EA3D2F"/>
    <w:rsid w:val="00EA42AA"/>
    <w:rsid w:val="00EA5377"/>
    <w:rsid w:val="00EB2344"/>
    <w:rsid w:val="00EB26DA"/>
    <w:rsid w:val="00EB3773"/>
    <w:rsid w:val="00EB4225"/>
    <w:rsid w:val="00EB520A"/>
    <w:rsid w:val="00EC00D4"/>
    <w:rsid w:val="00ED2B23"/>
    <w:rsid w:val="00ED5BA4"/>
    <w:rsid w:val="00ED7D1D"/>
    <w:rsid w:val="00EE0135"/>
    <w:rsid w:val="00EE03A6"/>
    <w:rsid w:val="00EE0984"/>
    <w:rsid w:val="00EE19EF"/>
    <w:rsid w:val="00EE65AD"/>
    <w:rsid w:val="00EF30AD"/>
    <w:rsid w:val="00EF4421"/>
    <w:rsid w:val="00EF7C83"/>
    <w:rsid w:val="00F06234"/>
    <w:rsid w:val="00F0682C"/>
    <w:rsid w:val="00F106CF"/>
    <w:rsid w:val="00F1166F"/>
    <w:rsid w:val="00F17408"/>
    <w:rsid w:val="00F2190E"/>
    <w:rsid w:val="00F256C0"/>
    <w:rsid w:val="00F26D4F"/>
    <w:rsid w:val="00F2790B"/>
    <w:rsid w:val="00F31D5C"/>
    <w:rsid w:val="00F32C27"/>
    <w:rsid w:val="00F35B8E"/>
    <w:rsid w:val="00F36D35"/>
    <w:rsid w:val="00F40E58"/>
    <w:rsid w:val="00F4183D"/>
    <w:rsid w:val="00F41C7B"/>
    <w:rsid w:val="00F53CB6"/>
    <w:rsid w:val="00F55089"/>
    <w:rsid w:val="00F570A7"/>
    <w:rsid w:val="00F574B8"/>
    <w:rsid w:val="00F6308F"/>
    <w:rsid w:val="00F70987"/>
    <w:rsid w:val="00F714BA"/>
    <w:rsid w:val="00F727CF"/>
    <w:rsid w:val="00F7442D"/>
    <w:rsid w:val="00F74DDB"/>
    <w:rsid w:val="00F766FA"/>
    <w:rsid w:val="00F8546D"/>
    <w:rsid w:val="00F8611D"/>
    <w:rsid w:val="00F8619B"/>
    <w:rsid w:val="00FA12CD"/>
    <w:rsid w:val="00FA1FB4"/>
    <w:rsid w:val="00FA6BA3"/>
    <w:rsid w:val="00FB3B00"/>
    <w:rsid w:val="00FB4BB1"/>
    <w:rsid w:val="00FB57E5"/>
    <w:rsid w:val="00FC2C4D"/>
    <w:rsid w:val="00FC753A"/>
    <w:rsid w:val="00FD5197"/>
    <w:rsid w:val="00FD5D10"/>
    <w:rsid w:val="00FD764A"/>
    <w:rsid w:val="00FD7958"/>
    <w:rsid w:val="00FE6984"/>
    <w:rsid w:val="00FF420E"/>
    <w:rsid w:val="00FF4330"/>
    <w:rsid w:val="00FF6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5F0824"/>
  <w15:docId w15:val="{7BA4B188-8F27-4355-9736-98EDF4ED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1C65"/>
    <w:rPr>
      <w:rFonts w:ascii="Arial" w:hAnsi="Arial"/>
      <w:sz w:val="24"/>
    </w:rPr>
  </w:style>
  <w:style w:type="paragraph" w:styleId="Nadpis1">
    <w:name w:val="heading 1"/>
    <w:basedOn w:val="Normln"/>
    <w:next w:val="Normln"/>
    <w:link w:val="Nadpis1Char"/>
    <w:uiPriority w:val="9"/>
    <w:qFormat/>
    <w:rsid w:val="00CE3DD9"/>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autoRedefine/>
    <w:uiPriority w:val="9"/>
    <w:unhideWhenUsed/>
    <w:qFormat/>
    <w:rsid w:val="001A1C65"/>
    <w:pPr>
      <w:keepNext/>
      <w:keepLines/>
      <w:spacing w:before="40" w:after="12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3C6520"/>
    <w:pPr>
      <w:keepNext/>
      <w:keepLines/>
      <w:spacing w:before="40" w:after="0"/>
      <w:outlineLvl w:val="2"/>
    </w:pPr>
    <w:rPr>
      <w:rFonts w:eastAsiaTheme="majorEastAsia"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068E"/>
    <w:pPr>
      <w:ind w:left="720"/>
      <w:contextualSpacing/>
    </w:pPr>
  </w:style>
  <w:style w:type="character" w:styleId="Hypertextovodkaz">
    <w:name w:val="Hyperlink"/>
    <w:basedOn w:val="Standardnpsmoodstavce"/>
    <w:uiPriority w:val="99"/>
    <w:unhideWhenUsed/>
    <w:rsid w:val="00227D9D"/>
    <w:rPr>
      <w:color w:val="0563C1" w:themeColor="hyperlink"/>
      <w:u w:val="single"/>
    </w:rPr>
  </w:style>
  <w:style w:type="character" w:styleId="Sledovanodkaz">
    <w:name w:val="FollowedHyperlink"/>
    <w:basedOn w:val="Standardnpsmoodstavce"/>
    <w:uiPriority w:val="99"/>
    <w:semiHidden/>
    <w:unhideWhenUsed/>
    <w:rsid w:val="006258B7"/>
    <w:rPr>
      <w:color w:val="954F72" w:themeColor="followedHyperlink"/>
      <w:u w:val="single"/>
    </w:rPr>
  </w:style>
  <w:style w:type="paragraph" w:styleId="Zhlav">
    <w:name w:val="header"/>
    <w:basedOn w:val="Normln"/>
    <w:link w:val="ZhlavChar"/>
    <w:uiPriority w:val="99"/>
    <w:unhideWhenUsed/>
    <w:rsid w:val="00477E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49"/>
  </w:style>
  <w:style w:type="paragraph" w:styleId="Zpat">
    <w:name w:val="footer"/>
    <w:basedOn w:val="Normln"/>
    <w:link w:val="ZpatChar"/>
    <w:uiPriority w:val="99"/>
    <w:unhideWhenUsed/>
    <w:rsid w:val="00477E49"/>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49"/>
  </w:style>
  <w:style w:type="character" w:customStyle="1" w:styleId="Nevyeenzmnka1">
    <w:name w:val="Nevyřešená zmínka1"/>
    <w:basedOn w:val="Standardnpsmoodstavce"/>
    <w:uiPriority w:val="99"/>
    <w:semiHidden/>
    <w:unhideWhenUsed/>
    <w:rsid w:val="00CE3DD9"/>
    <w:rPr>
      <w:color w:val="605E5C"/>
      <w:shd w:val="clear" w:color="auto" w:fill="E1DFDD"/>
    </w:rPr>
  </w:style>
  <w:style w:type="character" w:customStyle="1" w:styleId="Nadpis1Char">
    <w:name w:val="Nadpis 1 Char"/>
    <w:basedOn w:val="Standardnpsmoodstavce"/>
    <w:link w:val="Nadpis1"/>
    <w:uiPriority w:val="9"/>
    <w:rsid w:val="00CE3DD9"/>
    <w:rPr>
      <w:rFonts w:ascii="Arial" w:eastAsiaTheme="majorEastAsia" w:hAnsi="Arial" w:cstheme="majorBidi"/>
      <w:b/>
      <w:sz w:val="32"/>
      <w:szCs w:val="32"/>
    </w:rPr>
  </w:style>
  <w:style w:type="character" w:customStyle="1" w:styleId="Nadpis2Char">
    <w:name w:val="Nadpis 2 Char"/>
    <w:basedOn w:val="Standardnpsmoodstavce"/>
    <w:link w:val="Nadpis2"/>
    <w:uiPriority w:val="9"/>
    <w:rsid w:val="001A1C65"/>
    <w:rPr>
      <w:rFonts w:ascii="Arial" w:eastAsiaTheme="majorEastAsia" w:hAnsi="Arial" w:cstheme="majorBidi"/>
      <w:b/>
      <w:sz w:val="28"/>
      <w:szCs w:val="26"/>
    </w:rPr>
  </w:style>
  <w:style w:type="character" w:styleId="Odkaznakoment">
    <w:name w:val="annotation reference"/>
    <w:basedOn w:val="Standardnpsmoodstavce"/>
    <w:uiPriority w:val="99"/>
    <w:semiHidden/>
    <w:unhideWhenUsed/>
    <w:rsid w:val="009E496E"/>
    <w:rPr>
      <w:sz w:val="16"/>
      <w:szCs w:val="16"/>
    </w:rPr>
  </w:style>
  <w:style w:type="paragraph" w:styleId="Textkomente">
    <w:name w:val="annotation text"/>
    <w:basedOn w:val="Normln"/>
    <w:link w:val="TextkomenteChar"/>
    <w:uiPriority w:val="99"/>
    <w:semiHidden/>
    <w:unhideWhenUsed/>
    <w:rsid w:val="009E496E"/>
    <w:pPr>
      <w:spacing w:line="240" w:lineRule="auto"/>
    </w:pPr>
    <w:rPr>
      <w:sz w:val="20"/>
      <w:szCs w:val="20"/>
    </w:rPr>
  </w:style>
  <w:style w:type="character" w:customStyle="1" w:styleId="TextkomenteChar">
    <w:name w:val="Text komentáře Char"/>
    <w:basedOn w:val="Standardnpsmoodstavce"/>
    <w:link w:val="Textkomente"/>
    <w:uiPriority w:val="99"/>
    <w:semiHidden/>
    <w:rsid w:val="009E496E"/>
    <w:rPr>
      <w:sz w:val="20"/>
      <w:szCs w:val="20"/>
    </w:rPr>
  </w:style>
  <w:style w:type="paragraph" w:styleId="Pedmtkomente">
    <w:name w:val="annotation subject"/>
    <w:basedOn w:val="Textkomente"/>
    <w:next w:val="Textkomente"/>
    <w:link w:val="PedmtkomenteChar"/>
    <w:uiPriority w:val="99"/>
    <w:semiHidden/>
    <w:unhideWhenUsed/>
    <w:rsid w:val="009E496E"/>
    <w:rPr>
      <w:b/>
      <w:bCs/>
    </w:rPr>
  </w:style>
  <w:style w:type="character" w:customStyle="1" w:styleId="PedmtkomenteChar">
    <w:name w:val="Předmět komentáře Char"/>
    <w:basedOn w:val="TextkomenteChar"/>
    <w:link w:val="Pedmtkomente"/>
    <w:uiPriority w:val="99"/>
    <w:semiHidden/>
    <w:rsid w:val="009E496E"/>
    <w:rPr>
      <w:b/>
      <w:bCs/>
      <w:sz w:val="20"/>
      <w:szCs w:val="20"/>
    </w:rPr>
  </w:style>
  <w:style w:type="paragraph" w:styleId="Textbubliny">
    <w:name w:val="Balloon Text"/>
    <w:basedOn w:val="Normln"/>
    <w:link w:val="TextbublinyChar"/>
    <w:uiPriority w:val="99"/>
    <w:semiHidden/>
    <w:unhideWhenUsed/>
    <w:rsid w:val="009E49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496E"/>
    <w:rPr>
      <w:rFonts w:ascii="Segoe UI" w:hAnsi="Segoe UI" w:cs="Segoe UI"/>
      <w:sz w:val="18"/>
      <w:szCs w:val="18"/>
    </w:rPr>
  </w:style>
  <w:style w:type="paragraph" w:styleId="Normlnweb">
    <w:name w:val="Normal (Web)"/>
    <w:basedOn w:val="Normln"/>
    <w:uiPriority w:val="99"/>
    <w:unhideWhenUsed/>
    <w:rsid w:val="00E320EF"/>
    <w:pPr>
      <w:spacing w:before="100" w:beforeAutospacing="1" w:after="100" w:afterAutospacing="1" w:line="240" w:lineRule="auto"/>
    </w:pPr>
    <w:rPr>
      <w:rFonts w:ascii="Times New Roman" w:eastAsia="Times New Roman" w:hAnsi="Times New Roman" w:cs="Times New Roman"/>
      <w:szCs w:val="24"/>
      <w:lang w:eastAsia="cs-CZ"/>
    </w:rPr>
  </w:style>
  <w:style w:type="character" w:styleId="Siln">
    <w:name w:val="Strong"/>
    <w:basedOn w:val="Standardnpsmoodstavce"/>
    <w:uiPriority w:val="22"/>
    <w:qFormat/>
    <w:rsid w:val="00E320EF"/>
    <w:rPr>
      <w:b/>
      <w:bCs/>
    </w:rPr>
  </w:style>
  <w:style w:type="character" w:customStyle="1" w:styleId="Nadpis3Char">
    <w:name w:val="Nadpis 3 Char"/>
    <w:basedOn w:val="Standardnpsmoodstavce"/>
    <w:link w:val="Nadpis3"/>
    <w:uiPriority w:val="9"/>
    <w:rsid w:val="003C6520"/>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9962">
      <w:bodyDiv w:val="1"/>
      <w:marLeft w:val="0"/>
      <w:marRight w:val="0"/>
      <w:marTop w:val="0"/>
      <w:marBottom w:val="0"/>
      <w:divBdr>
        <w:top w:val="none" w:sz="0" w:space="0" w:color="auto"/>
        <w:left w:val="none" w:sz="0" w:space="0" w:color="auto"/>
        <w:bottom w:val="none" w:sz="0" w:space="0" w:color="auto"/>
        <w:right w:val="none" w:sz="0" w:space="0" w:color="auto"/>
      </w:divBdr>
    </w:div>
    <w:div w:id="225996566">
      <w:bodyDiv w:val="1"/>
      <w:marLeft w:val="0"/>
      <w:marRight w:val="0"/>
      <w:marTop w:val="0"/>
      <w:marBottom w:val="0"/>
      <w:divBdr>
        <w:top w:val="none" w:sz="0" w:space="0" w:color="auto"/>
        <w:left w:val="none" w:sz="0" w:space="0" w:color="auto"/>
        <w:bottom w:val="none" w:sz="0" w:space="0" w:color="auto"/>
        <w:right w:val="none" w:sz="0" w:space="0" w:color="auto"/>
      </w:divBdr>
    </w:div>
    <w:div w:id="233509857">
      <w:bodyDiv w:val="1"/>
      <w:marLeft w:val="0"/>
      <w:marRight w:val="0"/>
      <w:marTop w:val="0"/>
      <w:marBottom w:val="0"/>
      <w:divBdr>
        <w:top w:val="none" w:sz="0" w:space="0" w:color="auto"/>
        <w:left w:val="none" w:sz="0" w:space="0" w:color="auto"/>
        <w:bottom w:val="none" w:sz="0" w:space="0" w:color="auto"/>
        <w:right w:val="none" w:sz="0" w:space="0" w:color="auto"/>
      </w:divBdr>
    </w:div>
    <w:div w:id="281616462">
      <w:bodyDiv w:val="1"/>
      <w:marLeft w:val="0"/>
      <w:marRight w:val="0"/>
      <w:marTop w:val="0"/>
      <w:marBottom w:val="0"/>
      <w:divBdr>
        <w:top w:val="none" w:sz="0" w:space="0" w:color="auto"/>
        <w:left w:val="none" w:sz="0" w:space="0" w:color="auto"/>
        <w:bottom w:val="none" w:sz="0" w:space="0" w:color="auto"/>
        <w:right w:val="none" w:sz="0" w:space="0" w:color="auto"/>
      </w:divBdr>
      <w:divsChild>
        <w:div w:id="695691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41596">
              <w:marLeft w:val="0"/>
              <w:marRight w:val="0"/>
              <w:marTop w:val="0"/>
              <w:marBottom w:val="0"/>
              <w:divBdr>
                <w:top w:val="none" w:sz="0" w:space="0" w:color="auto"/>
                <w:left w:val="none" w:sz="0" w:space="0" w:color="auto"/>
                <w:bottom w:val="none" w:sz="0" w:space="0" w:color="auto"/>
                <w:right w:val="none" w:sz="0" w:space="0" w:color="auto"/>
              </w:divBdr>
            </w:div>
          </w:divsChild>
        </w:div>
        <w:div w:id="38733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51824">
              <w:marLeft w:val="0"/>
              <w:marRight w:val="0"/>
              <w:marTop w:val="0"/>
              <w:marBottom w:val="0"/>
              <w:divBdr>
                <w:top w:val="none" w:sz="0" w:space="0" w:color="auto"/>
                <w:left w:val="none" w:sz="0" w:space="0" w:color="auto"/>
                <w:bottom w:val="none" w:sz="0" w:space="0" w:color="auto"/>
                <w:right w:val="none" w:sz="0" w:space="0" w:color="auto"/>
              </w:divBdr>
            </w:div>
            <w:div w:id="20448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3121">
      <w:bodyDiv w:val="1"/>
      <w:marLeft w:val="0"/>
      <w:marRight w:val="0"/>
      <w:marTop w:val="0"/>
      <w:marBottom w:val="0"/>
      <w:divBdr>
        <w:top w:val="none" w:sz="0" w:space="0" w:color="auto"/>
        <w:left w:val="none" w:sz="0" w:space="0" w:color="auto"/>
        <w:bottom w:val="none" w:sz="0" w:space="0" w:color="auto"/>
        <w:right w:val="none" w:sz="0" w:space="0" w:color="auto"/>
      </w:divBdr>
    </w:div>
    <w:div w:id="648706662">
      <w:bodyDiv w:val="1"/>
      <w:marLeft w:val="0"/>
      <w:marRight w:val="0"/>
      <w:marTop w:val="0"/>
      <w:marBottom w:val="0"/>
      <w:divBdr>
        <w:top w:val="none" w:sz="0" w:space="0" w:color="auto"/>
        <w:left w:val="none" w:sz="0" w:space="0" w:color="auto"/>
        <w:bottom w:val="none" w:sz="0" w:space="0" w:color="auto"/>
        <w:right w:val="none" w:sz="0" w:space="0" w:color="auto"/>
      </w:divBdr>
    </w:div>
    <w:div w:id="743573382">
      <w:bodyDiv w:val="1"/>
      <w:marLeft w:val="0"/>
      <w:marRight w:val="0"/>
      <w:marTop w:val="0"/>
      <w:marBottom w:val="0"/>
      <w:divBdr>
        <w:top w:val="none" w:sz="0" w:space="0" w:color="auto"/>
        <w:left w:val="none" w:sz="0" w:space="0" w:color="auto"/>
        <w:bottom w:val="none" w:sz="0" w:space="0" w:color="auto"/>
        <w:right w:val="none" w:sz="0" w:space="0" w:color="auto"/>
      </w:divBdr>
    </w:div>
    <w:div w:id="904534471">
      <w:bodyDiv w:val="1"/>
      <w:marLeft w:val="0"/>
      <w:marRight w:val="0"/>
      <w:marTop w:val="0"/>
      <w:marBottom w:val="0"/>
      <w:divBdr>
        <w:top w:val="none" w:sz="0" w:space="0" w:color="auto"/>
        <w:left w:val="none" w:sz="0" w:space="0" w:color="auto"/>
        <w:bottom w:val="none" w:sz="0" w:space="0" w:color="auto"/>
        <w:right w:val="none" w:sz="0" w:space="0" w:color="auto"/>
      </w:divBdr>
    </w:div>
    <w:div w:id="991761088">
      <w:bodyDiv w:val="1"/>
      <w:marLeft w:val="0"/>
      <w:marRight w:val="0"/>
      <w:marTop w:val="0"/>
      <w:marBottom w:val="0"/>
      <w:divBdr>
        <w:top w:val="none" w:sz="0" w:space="0" w:color="auto"/>
        <w:left w:val="none" w:sz="0" w:space="0" w:color="auto"/>
        <w:bottom w:val="none" w:sz="0" w:space="0" w:color="auto"/>
        <w:right w:val="none" w:sz="0" w:space="0" w:color="auto"/>
      </w:divBdr>
    </w:div>
    <w:div w:id="1033111520">
      <w:bodyDiv w:val="1"/>
      <w:marLeft w:val="0"/>
      <w:marRight w:val="0"/>
      <w:marTop w:val="0"/>
      <w:marBottom w:val="0"/>
      <w:divBdr>
        <w:top w:val="none" w:sz="0" w:space="0" w:color="auto"/>
        <w:left w:val="none" w:sz="0" w:space="0" w:color="auto"/>
        <w:bottom w:val="none" w:sz="0" w:space="0" w:color="auto"/>
        <w:right w:val="none" w:sz="0" w:space="0" w:color="auto"/>
      </w:divBdr>
    </w:div>
    <w:div w:id="1235897827">
      <w:bodyDiv w:val="1"/>
      <w:marLeft w:val="0"/>
      <w:marRight w:val="0"/>
      <w:marTop w:val="0"/>
      <w:marBottom w:val="0"/>
      <w:divBdr>
        <w:top w:val="none" w:sz="0" w:space="0" w:color="auto"/>
        <w:left w:val="none" w:sz="0" w:space="0" w:color="auto"/>
        <w:bottom w:val="none" w:sz="0" w:space="0" w:color="auto"/>
        <w:right w:val="none" w:sz="0" w:space="0" w:color="auto"/>
      </w:divBdr>
    </w:div>
    <w:div w:id="1392800980">
      <w:bodyDiv w:val="1"/>
      <w:marLeft w:val="0"/>
      <w:marRight w:val="0"/>
      <w:marTop w:val="0"/>
      <w:marBottom w:val="0"/>
      <w:divBdr>
        <w:top w:val="none" w:sz="0" w:space="0" w:color="auto"/>
        <w:left w:val="none" w:sz="0" w:space="0" w:color="auto"/>
        <w:bottom w:val="none" w:sz="0" w:space="0" w:color="auto"/>
        <w:right w:val="none" w:sz="0" w:space="0" w:color="auto"/>
      </w:divBdr>
    </w:div>
    <w:div w:id="1468619036">
      <w:bodyDiv w:val="1"/>
      <w:marLeft w:val="0"/>
      <w:marRight w:val="0"/>
      <w:marTop w:val="0"/>
      <w:marBottom w:val="0"/>
      <w:divBdr>
        <w:top w:val="none" w:sz="0" w:space="0" w:color="auto"/>
        <w:left w:val="none" w:sz="0" w:space="0" w:color="auto"/>
        <w:bottom w:val="none" w:sz="0" w:space="0" w:color="auto"/>
        <w:right w:val="none" w:sz="0" w:space="0" w:color="auto"/>
      </w:divBdr>
    </w:div>
    <w:div w:id="1477187472">
      <w:bodyDiv w:val="1"/>
      <w:marLeft w:val="0"/>
      <w:marRight w:val="0"/>
      <w:marTop w:val="0"/>
      <w:marBottom w:val="0"/>
      <w:divBdr>
        <w:top w:val="none" w:sz="0" w:space="0" w:color="auto"/>
        <w:left w:val="none" w:sz="0" w:space="0" w:color="auto"/>
        <w:bottom w:val="none" w:sz="0" w:space="0" w:color="auto"/>
        <w:right w:val="none" w:sz="0" w:space="0" w:color="auto"/>
      </w:divBdr>
    </w:div>
    <w:div w:id="1672416577">
      <w:bodyDiv w:val="1"/>
      <w:marLeft w:val="0"/>
      <w:marRight w:val="0"/>
      <w:marTop w:val="0"/>
      <w:marBottom w:val="0"/>
      <w:divBdr>
        <w:top w:val="none" w:sz="0" w:space="0" w:color="auto"/>
        <w:left w:val="none" w:sz="0" w:space="0" w:color="auto"/>
        <w:bottom w:val="none" w:sz="0" w:space="0" w:color="auto"/>
        <w:right w:val="none" w:sz="0" w:space="0" w:color="auto"/>
      </w:divBdr>
    </w:div>
    <w:div w:id="1701936006">
      <w:bodyDiv w:val="1"/>
      <w:marLeft w:val="0"/>
      <w:marRight w:val="0"/>
      <w:marTop w:val="0"/>
      <w:marBottom w:val="0"/>
      <w:divBdr>
        <w:top w:val="none" w:sz="0" w:space="0" w:color="auto"/>
        <w:left w:val="none" w:sz="0" w:space="0" w:color="auto"/>
        <w:bottom w:val="none" w:sz="0" w:space="0" w:color="auto"/>
        <w:right w:val="none" w:sz="0" w:space="0" w:color="auto"/>
      </w:divBdr>
    </w:div>
    <w:div w:id="1818378193">
      <w:bodyDiv w:val="1"/>
      <w:marLeft w:val="0"/>
      <w:marRight w:val="0"/>
      <w:marTop w:val="0"/>
      <w:marBottom w:val="0"/>
      <w:divBdr>
        <w:top w:val="none" w:sz="0" w:space="0" w:color="auto"/>
        <w:left w:val="none" w:sz="0" w:space="0" w:color="auto"/>
        <w:bottom w:val="none" w:sz="0" w:space="0" w:color="auto"/>
        <w:right w:val="none" w:sz="0" w:space="0" w:color="auto"/>
      </w:divBdr>
    </w:div>
    <w:div w:id="1914731636">
      <w:bodyDiv w:val="1"/>
      <w:marLeft w:val="0"/>
      <w:marRight w:val="0"/>
      <w:marTop w:val="0"/>
      <w:marBottom w:val="0"/>
      <w:divBdr>
        <w:top w:val="none" w:sz="0" w:space="0" w:color="auto"/>
        <w:left w:val="none" w:sz="0" w:space="0" w:color="auto"/>
        <w:bottom w:val="none" w:sz="0" w:space="0" w:color="auto"/>
        <w:right w:val="none" w:sz="0" w:space="0" w:color="auto"/>
      </w:divBdr>
    </w:div>
    <w:div w:id="1923486824">
      <w:bodyDiv w:val="1"/>
      <w:marLeft w:val="0"/>
      <w:marRight w:val="0"/>
      <w:marTop w:val="0"/>
      <w:marBottom w:val="0"/>
      <w:divBdr>
        <w:top w:val="none" w:sz="0" w:space="0" w:color="auto"/>
        <w:left w:val="none" w:sz="0" w:space="0" w:color="auto"/>
        <w:bottom w:val="none" w:sz="0" w:space="0" w:color="auto"/>
        <w:right w:val="none" w:sz="0" w:space="0" w:color="auto"/>
      </w:divBdr>
    </w:div>
    <w:div w:id="1956520189">
      <w:bodyDiv w:val="1"/>
      <w:marLeft w:val="0"/>
      <w:marRight w:val="0"/>
      <w:marTop w:val="0"/>
      <w:marBottom w:val="0"/>
      <w:divBdr>
        <w:top w:val="none" w:sz="0" w:space="0" w:color="auto"/>
        <w:left w:val="none" w:sz="0" w:space="0" w:color="auto"/>
        <w:bottom w:val="none" w:sz="0" w:space="0" w:color="auto"/>
        <w:right w:val="none" w:sz="0" w:space="0" w:color="auto"/>
      </w:divBdr>
    </w:div>
    <w:div w:id="2017924313">
      <w:bodyDiv w:val="1"/>
      <w:marLeft w:val="0"/>
      <w:marRight w:val="0"/>
      <w:marTop w:val="0"/>
      <w:marBottom w:val="0"/>
      <w:divBdr>
        <w:top w:val="none" w:sz="0" w:space="0" w:color="auto"/>
        <w:left w:val="none" w:sz="0" w:space="0" w:color="auto"/>
        <w:bottom w:val="none" w:sz="0" w:space="0" w:color="auto"/>
        <w:right w:val="none" w:sz="0" w:space="0" w:color="auto"/>
      </w:divBdr>
    </w:div>
    <w:div w:id="2045329474">
      <w:bodyDiv w:val="1"/>
      <w:marLeft w:val="0"/>
      <w:marRight w:val="0"/>
      <w:marTop w:val="0"/>
      <w:marBottom w:val="0"/>
      <w:divBdr>
        <w:top w:val="none" w:sz="0" w:space="0" w:color="auto"/>
        <w:left w:val="none" w:sz="0" w:space="0" w:color="auto"/>
        <w:bottom w:val="none" w:sz="0" w:space="0" w:color="auto"/>
        <w:right w:val="none" w:sz="0" w:space="0" w:color="auto"/>
      </w:divBdr>
    </w:div>
    <w:div w:id="20796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ke-stazeni/formulare-a-tiskopis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skaposta.cz/sluzby/psani/cr/doporucena-slepecka-zasilka"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3829-230D-4B91-A904-7BBDBD61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5</Pages>
  <Words>1952</Words>
  <Characters>11520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Václava Baudišová</dc:creator>
  <cp:lastModifiedBy>Alblová</cp:lastModifiedBy>
  <cp:revision>48</cp:revision>
  <cp:lastPrinted>2022-09-09T10:16:00Z</cp:lastPrinted>
  <dcterms:created xsi:type="dcterms:W3CDTF">2022-09-09T09:01:00Z</dcterms:created>
  <dcterms:modified xsi:type="dcterms:W3CDTF">2022-10-04T08:31:00Z</dcterms:modified>
</cp:coreProperties>
</file>