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65" w:rsidRDefault="00C8456B" w:rsidP="00573388">
      <w:pPr>
        <w:pStyle w:val="Nadpis1"/>
        <w:rPr>
          <w:rFonts w:cs="Arial"/>
          <w:sz w:val="28"/>
          <w:szCs w:val="28"/>
        </w:rPr>
      </w:pPr>
      <w:r w:rsidRPr="00715639">
        <w:rPr>
          <w:rFonts w:cs="Arial"/>
          <w:sz w:val="28"/>
          <w:szCs w:val="28"/>
        </w:rPr>
        <w:t>Informace ze Soci</w:t>
      </w:r>
      <w:r w:rsidR="00D32FE3" w:rsidRPr="00715639">
        <w:rPr>
          <w:rFonts w:cs="Arial"/>
          <w:sz w:val="28"/>
          <w:szCs w:val="28"/>
        </w:rPr>
        <w:t xml:space="preserve">álně-právní poradny </w:t>
      </w:r>
      <w:r w:rsidR="00E96D01">
        <w:rPr>
          <w:rFonts w:cs="Arial"/>
          <w:sz w:val="28"/>
          <w:szCs w:val="28"/>
        </w:rPr>
        <w:t>1</w:t>
      </w:r>
      <w:r w:rsidR="00D32FE3" w:rsidRPr="00715639">
        <w:rPr>
          <w:rFonts w:cs="Arial"/>
          <w:sz w:val="28"/>
          <w:szCs w:val="28"/>
        </w:rPr>
        <w:t>/202</w:t>
      </w:r>
      <w:r w:rsidR="00E96D01">
        <w:rPr>
          <w:rFonts w:cs="Arial"/>
          <w:sz w:val="28"/>
          <w:szCs w:val="28"/>
        </w:rPr>
        <w:t>3</w:t>
      </w:r>
      <w:r w:rsidR="00743AD9" w:rsidRPr="00715639">
        <w:rPr>
          <w:rFonts w:cs="Arial"/>
          <w:sz w:val="28"/>
          <w:szCs w:val="28"/>
        </w:rPr>
        <w:t xml:space="preserve"> </w:t>
      </w:r>
    </w:p>
    <w:p w:rsidR="00D87A40" w:rsidRPr="00D87A40" w:rsidRDefault="00D87A40" w:rsidP="00D87A40"/>
    <w:p w:rsidR="00741AB3" w:rsidRDefault="00D87A40" w:rsidP="00863EDA">
      <w:pPr>
        <w:jc w:val="both"/>
      </w:pPr>
      <w:r>
        <w:t xml:space="preserve">Vážení čtenáři, v prvním čísle tohoto roku </w:t>
      </w:r>
      <w:r w:rsidR="006947B9">
        <w:t>předně</w:t>
      </w:r>
      <w:r w:rsidR="00863EDA">
        <w:t xml:space="preserve">, s přihlédnutím k situaci platné k 5. prosinci, </w:t>
      </w:r>
      <w:r w:rsidR="006947B9">
        <w:t>dod</w:t>
      </w:r>
      <w:r w:rsidR="0041648D">
        <w:t>áv</w:t>
      </w:r>
      <w:r w:rsidR="006947B9">
        <w:t>ám k</w:t>
      </w:r>
      <w:r w:rsidR="00D24508">
        <w:t> </w:t>
      </w:r>
      <w:r w:rsidR="006947B9" w:rsidRPr="002670A3">
        <w:t>Informac</w:t>
      </w:r>
      <w:r w:rsidR="0041648D">
        <w:t>i</w:t>
      </w:r>
      <w:r w:rsidR="00D24508">
        <w:t xml:space="preserve"> </w:t>
      </w:r>
      <w:r w:rsidR="006947B9" w:rsidRPr="002670A3">
        <w:t>12/2022</w:t>
      </w:r>
      <w:r w:rsidR="006947B9">
        <w:t xml:space="preserve">, že přídavek na dítě skutečně bude </w:t>
      </w:r>
      <w:r w:rsidR="0041648D">
        <w:t xml:space="preserve">s největší pravděpodobností </w:t>
      </w:r>
      <w:r w:rsidR="006947B9">
        <w:t>ve všech kategoriích zvýšen o 200 Kč</w:t>
      </w:r>
      <w:r w:rsidR="00863EDA">
        <w:t>. P</w:t>
      </w:r>
      <w:r w:rsidR="006947B9">
        <w:t xml:space="preserve">otom se </w:t>
      </w:r>
      <w:r>
        <w:t xml:space="preserve">krátce dotkneme </w:t>
      </w:r>
      <w:r w:rsidR="006947B9">
        <w:t xml:space="preserve">problematiky </w:t>
      </w:r>
      <w:r>
        <w:t>zvířete v</w:t>
      </w:r>
      <w:r w:rsidR="00863EDA">
        <w:t> </w:t>
      </w:r>
      <w:r>
        <w:t>bytě</w:t>
      </w:r>
      <w:r w:rsidR="00863EDA">
        <w:t xml:space="preserve">. </w:t>
      </w:r>
      <w:r w:rsidR="0041648D">
        <w:t>Dále</w:t>
      </w:r>
      <w:r w:rsidR="006947B9">
        <w:t xml:space="preserve"> s</w:t>
      </w:r>
      <w:r w:rsidR="00863EDA">
        <w:t xml:space="preserve">e (aniž chci </w:t>
      </w:r>
      <w:r w:rsidR="006947B9">
        <w:t>malovat čerta na zeď</w:t>
      </w:r>
      <w:r w:rsidR="00863EDA">
        <w:t xml:space="preserve">) </w:t>
      </w:r>
      <w:r w:rsidR="006947B9">
        <w:t>seznámíme se základními pojmy exekučního práva</w:t>
      </w:r>
      <w:r w:rsidR="00DD33BC">
        <w:t>,</w:t>
      </w:r>
      <w:r w:rsidR="0041648D">
        <w:t xml:space="preserve"> a nakonec bude upoutávka.</w:t>
      </w:r>
    </w:p>
    <w:p w:rsidR="001C17BB" w:rsidRPr="00243C20" w:rsidRDefault="00257AB8" w:rsidP="009C3121">
      <w:pPr>
        <w:pStyle w:val="Nadpis2"/>
      </w:pPr>
      <w:r w:rsidRPr="00243C20">
        <w:t>Zvíř</w:t>
      </w:r>
      <w:r w:rsidR="006C500A" w:rsidRPr="00243C20">
        <w:t>e v bytě</w:t>
      </w:r>
    </w:p>
    <w:p w:rsidR="00BF007C" w:rsidRPr="00D87A40" w:rsidRDefault="00243C20" w:rsidP="00BF007C">
      <w:pPr>
        <w:pStyle w:val="l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B1223">
        <w:rPr>
          <w:rFonts w:ascii="Arial" w:hAnsi="Arial" w:cs="Arial"/>
        </w:rPr>
        <w:t xml:space="preserve">Chovat ve vlastním i pronajatém bytě zvíře dle vlastní volby zákon </w:t>
      </w:r>
      <w:r w:rsidR="00741AB3" w:rsidRPr="00BB1223">
        <w:rPr>
          <w:rFonts w:ascii="Arial" w:hAnsi="Arial" w:cs="Arial"/>
        </w:rPr>
        <w:t xml:space="preserve">dovoluje, aniž by k tomu byl třeba něčí souhlas. Pokud by stanovy pro společenství vlastníků jednotek nebo nájemní smlouva přesto obsahovaly </w:t>
      </w:r>
      <w:r w:rsidR="00D87A40">
        <w:rPr>
          <w:rFonts w:ascii="Arial" w:hAnsi="Arial" w:cs="Arial"/>
        </w:rPr>
        <w:t xml:space="preserve">takové </w:t>
      </w:r>
      <w:r w:rsidR="00814887" w:rsidRPr="00BB1223">
        <w:rPr>
          <w:rFonts w:ascii="Arial" w:hAnsi="Arial" w:cs="Arial"/>
        </w:rPr>
        <w:t xml:space="preserve">zakazující nebo souhlasem podmíněné </w:t>
      </w:r>
      <w:r w:rsidR="00741AB3" w:rsidRPr="00BB1223">
        <w:rPr>
          <w:rFonts w:ascii="Arial" w:hAnsi="Arial" w:cs="Arial"/>
        </w:rPr>
        <w:t xml:space="preserve">ustanovení, je ze zákona neplatné. </w:t>
      </w:r>
      <w:r w:rsidR="00BF007C">
        <w:rPr>
          <w:rFonts w:ascii="Arial" w:hAnsi="Arial" w:cs="Arial"/>
          <w:color w:val="000000"/>
        </w:rPr>
        <w:t xml:space="preserve">V domě s bytovými jednotkami v extrémním případě může </w:t>
      </w:r>
      <w:r w:rsidR="00BF007C" w:rsidRPr="00BF007C">
        <w:rPr>
          <w:rFonts w:ascii="Arial" w:hAnsi="Arial" w:cs="Arial"/>
          <w:color w:val="000000"/>
        </w:rPr>
        <w:t>soud</w:t>
      </w:r>
      <w:r w:rsidR="00BF007C">
        <w:rPr>
          <w:rFonts w:ascii="Arial" w:hAnsi="Arial" w:cs="Arial"/>
          <w:color w:val="000000"/>
        </w:rPr>
        <w:t xml:space="preserve"> </w:t>
      </w:r>
      <w:r w:rsidR="00BF007C" w:rsidRPr="00BF007C">
        <w:rPr>
          <w:rFonts w:ascii="Arial" w:hAnsi="Arial" w:cs="Arial"/>
          <w:color w:val="000000"/>
        </w:rPr>
        <w:t xml:space="preserve">podle </w:t>
      </w:r>
      <w:r w:rsidR="00BF007C" w:rsidRPr="00BF007C">
        <w:rPr>
          <w:rFonts w:ascii="Arial" w:hAnsi="Arial" w:cs="Arial"/>
          <w:bCs/>
        </w:rPr>
        <w:t>§ 1184 odst. 1 občanského zákoníku</w:t>
      </w:r>
      <w:r w:rsidR="00BF007C">
        <w:rPr>
          <w:rFonts w:ascii="Arial" w:hAnsi="Arial" w:cs="Arial"/>
          <w:b/>
          <w:bCs/>
          <w:color w:val="FF8400"/>
        </w:rPr>
        <w:t xml:space="preserve"> </w:t>
      </w:r>
      <w:r w:rsidR="00BF007C">
        <w:rPr>
          <w:rFonts w:ascii="Arial" w:hAnsi="Arial" w:cs="Arial"/>
          <w:color w:val="000000"/>
        </w:rPr>
        <w:t>n</w:t>
      </w:r>
      <w:r w:rsidR="00BF007C" w:rsidRPr="00BF007C">
        <w:rPr>
          <w:rFonts w:ascii="Arial" w:hAnsi="Arial" w:cs="Arial"/>
          <w:color w:val="000000"/>
        </w:rPr>
        <w:t>a návrh osob</w:t>
      </w:r>
      <w:r w:rsidR="00BF007C">
        <w:rPr>
          <w:rFonts w:ascii="Arial" w:hAnsi="Arial" w:cs="Arial"/>
          <w:color w:val="000000"/>
        </w:rPr>
        <w:t xml:space="preserve">y odpovědné za správu domu </w:t>
      </w:r>
      <w:r w:rsidR="00BF007C" w:rsidRPr="00BF007C">
        <w:rPr>
          <w:rFonts w:ascii="Arial" w:hAnsi="Arial" w:cs="Arial"/>
          <w:color w:val="000000"/>
        </w:rPr>
        <w:t>nařídit prodej jednotky toho vlastníka, který i přes písemnou výstrahu osoby odpovědné za správu domu porušuje své povinnosti způsobem podstatně omezujícím nebo znemožňujícím výkon práv ostatních vlastníků jednotek.</w:t>
      </w:r>
      <w:r w:rsidR="00BF007C">
        <w:rPr>
          <w:rFonts w:ascii="Arial" w:hAnsi="Arial" w:cs="Arial"/>
          <w:color w:val="000000"/>
        </w:rPr>
        <w:t xml:space="preserve"> </w:t>
      </w:r>
      <w:r w:rsidR="00D87A40">
        <w:rPr>
          <w:rFonts w:ascii="Arial" w:hAnsi="Arial" w:cs="Arial"/>
          <w:color w:val="000000"/>
        </w:rPr>
        <w:t xml:space="preserve">V nájemním bytě má nájemce </w:t>
      </w:r>
      <w:r w:rsidR="00D87A40">
        <w:rPr>
          <w:rFonts w:ascii="Arial" w:hAnsi="Arial" w:cs="Arial"/>
        </w:rPr>
        <w:t>p</w:t>
      </w:r>
      <w:r w:rsidR="00BB1223" w:rsidRPr="00BB1223">
        <w:rPr>
          <w:rFonts w:ascii="Arial" w:hAnsi="Arial" w:cs="Arial"/>
        </w:rPr>
        <w:t xml:space="preserve">odle </w:t>
      </w:r>
      <w:r w:rsidR="00BB1223" w:rsidRPr="00BB1223">
        <w:rPr>
          <w:rFonts w:ascii="Arial" w:hAnsi="Arial" w:cs="Arial"/>
          <w:bCs/>
        </w:rPr>
        <w:t>§ 2258</w:t>
      </w:r>
      <w:r w:rsidR="00BB1223">
        <w:rPr>
          <w:rFonts w:ascii="Arial" w:hAnsi="Arial" w:cs="Arial"/>
          <w:bCs/>
        </w:rPr>
        <w:t xml:space="preserve"> občanského zákoníku </w:t>
      </w:r>
      <w:r w:rsidR="00BB1223" w:rsidRPr="00BB1223">
        <w:rPr>
          <w:rFonts w:ascii="Arial" w:hAnsi="Arial" w:cs="Arial"/>
          <w:color w:val="000000"/>
        </w:rPr>
        <w:t>právo chovat zvíře, nepůsobí-li chov pronajímateli nebo ostatním obyvatelům domu obtíže nepřiměřené poměrům v domě. Vyvolá-li chov zvířete potřebu zvýšených nákladů na údržbu společných částí domu, nahradí nájemce tyto náklady pronajímateli.</w:t>
      </w:r>
      <w:r w:rsidR="00BF007C">
        <w:rPr>
          <w:rFonts w:ascii="Arial" w:hAnsi="Arial" w:cs="Arial"/>
          <w:color w:val="000000"/>
        </w:rPr>
        <w:t xml:space="preserve"> Pokud jde o stav nájemního bytu „před</w:t>
      </w:r>
      <w:r w:rsidR="002A62C0">
        <w:rPr>
          <w:rFonts w:ascii="Arial" w:hAnsi="Arial" w:cs="Arial"/>
          <w:color w:val="000000"/>
        </w:rPr>
        <w:t xml:space="preserve"> </w:t>
      </w:r>
      <w:r w:rsidR="00BF007C">
        <w:rPr>
          <w:rFonts w:ascii="Arial" w:hAnsi="Arial" w:cs="Arial"/>
          <w:color w:val="000000"/>
        </w:rPr>
        <w:t xml:space="preserve">a po“ </w:t>
      </w:r>
      <w:r w:rsidR="002A62C0">
        <w:rPr>
          <w:rFonts w:ascii="Arial" w:hAnsi="Arial" w:cs="Arial"/>
          <w:color w:val="000000"/>
        </w:rPr>
        <w:t xml:space="preserve">užívání nájemcem s domácím mazlíčkem, je vhodné </w:t>
      </w:r>
      <w:r w:rsidR="00D87A40">
        <w:rPr>
          <w:rFonts w:ascii="Arial" w:hAnsi="Arial" w:cs="Arial"/>
          <w:color w:val="000000"/>
        </w:rPr>
        <w:t xml:space="preserve">ho </w:t>
      </w:r>
      <w:r w:rsidR="002A62C0">
        <w:rPr>
          <w:rFonts w:ascii="Arial" w:hAnsi="Arial" w:cs="Arial"/>
          <w:color w:val="000000"/>
        </w:rPr>
        <w:t xml:space="preserve">zdokumentovat a případné škody hradit z nájemcovy </w:t>
      </w:r>
      <w:r w:rsidR="00641666">
        <w:rPr>
          <w:rFonts w:ascii="Arial" w:hAnsi="Arial" w:cs="Arial"/>
          <w:color w:val="000000"/>
        </w:rPr>
        <w:t>jistoty</w:t>
      </w:r>
      <w:r w:rsidR="0030699D">
        <w:rPr>
          <w:rFonts w:ascii="Arial" w:hAnsi="Arial" w:cs="Arial"/>
          <w:color w:val="000000"/>
        </w:rPr>
        <w:t xml:space="preserve">, v běžné řeči </w:t>
      </w:r>
      <w:r w:rsidR="00641666">
        <w:rPr>
          <w:rFonts w:ascii="Arial" w:hAnsi="Arial" w:cs="Arial"/>
          <w:color w:val="000000"/>
        </w:rPr>
        <w:t>kauce</w:t>
      </w:r>
      <w:r w:rsidR="00191DBE">
        <w:rPr>
          <w:rFonts w:ascii="Arial" w:hAnsi="Arial" w:cs="Arial"/>
          <w:color w:val="000000"/>
        </w:rPr>
        <w:t>. T</w:t>
      </w:r>
      <w:r w:rsidR="002A62C0">
        <w:rPr>
          <w:rFonts w:ascii="Arial" w:hAnsi="Arial" w:cs="Arial"/>
          <w:color w:val="000000"/>
        </w:rPr>
        <w:t xml:space="preserve">a </w:t>
      </w:r>
      <w:r w:rsidR="00191DBE">
        <w:rPr>
          <w:rFonts w:ascii="Arial" w:hAnsi="Arial" w:cs="Arial"/>
          <w:color w:val="000000"/>
        </w:rPr>
        <w:t>sice</w:t>
      </w:r>
      <w:r w:rsidR="002A62C0">
        <w:rPr>
          <w:rFonts w:ascii="Arial" w:hAnsi="Arial" w:cs="Arial"/>
          <w:color w:val="000000"/>
        </w:rPr>
        <w:t xml:space="preserve"> nesmí </w:t>
      </w:r>
      <w:r w:rsidR="001B69E6">
        <w:rPr>
          <w:rFonts w:ascii="Arial" w:hAnsi="Arial" w:cs="Arial"/>
          <w:color w:val="000000"/>
        </w:rPr>
        <w:t xml:space="preserve">podle § 2254 občanského zákoníku </w:t>
      </w:r>
      <w:r w:rsidR="002A62C0">
        <w:rPr>
          <w:rFonts w:ascii="Arial" w:hAnsi="Arial" w:cs="Arial"/>
          <w:color w:val="000000"/>
        </w:rPr>
        <w:t xml:space="preserve">v souhrnu přesáhnout </w:t>
      </w:r>
      <w:r w:rsidR="00191DBE">
        <w:rPr>
          <w:rFonts w:ascii="Arial" w:hAnsi="Arial" w:cs="Arial"/>
          <w:color w:val="000000"/>
        </w:rPr>
        <w:t xml:space="preserve">trojnásobek měsíčního nájemného, dohoda o jejím přiměřeném zvýšení však možná je. </w:t>
      </w:r>
    </w:p>
    <w:p w:rsidR="006C500A" w:rsidRPr="00BB1223" w:rsidRDefault="006C500A" w:rsidP="00BB1223">
      <w:pPr>
        <w:jc w:val="both"/>
        <w:rPr>
          <w:szCs w:val="24"/>
        </w:rPr>
      </w:pPr>
    </w:p>
    <w:p w:rsidR="00257AB8" w:rsidRPr="00243C20" w:rsidRDefault="00257AB8" w:rsidP="009C3121">
      <w:pPr>
        <w:pStyle w:val="Nadpis2"/>
      </w:pPr>
      <w:r w:rsidRPr="00243C20">
        <w:t>Exek</w:t>
      </w:r>
      <w:bookmarkStart w:id="0" w:name="_GoBack"/>
      <w:bookmarkEnd w:id="0"/>
      <w:r w:rsidRPr="00243C20">
        <w:t>uční slovníček</w:t>
      </w:r>
    </w:p>
    <w:p w:rsidR="0094410E" w:rsidRPr="004F3C17" w:rsidRDefault="0094410E" w:rsidP="0094410E">
      <w:r w:rsidRPr="004F3C17">
        <w:t xml:space="preserve">Exekutorská komora nám poskytla slovníček </w:t>
      </w:r>
      <w:r w:rsidR="004F3C17">
        <w:t xml:space="preserve">těchto </w:t>
      </w:r>
      <w:r w:rsidRPr="004F3C17">
        <w:t xml:space="preserve">základních pojmů </w:t>
      </w:r>
      <w:r w:rsidR="004F3C17">
        <w:t xml:space="preserve">exekučního řízení: </w:t>
      </w:r>
    </w:p>
    <w:p w:rsidR="0094410E" w:rsidRPr="0094410E" w:rsidRDefault="0094410E" w:rsidP="00257AB8">
      <w:pPr>
        <w:jc w:val="both"/>
        <w:rPr>
          <w:b/>
        </w:rPr>
      </w:pPr>
      <w:r w:rsidRPr="0094410E">
        <w:rPr>
          <w:b/>
        </w:rPr>
        <w:t xml:space="preserve">Bagatelní exekuce - </w:t>
      </w:r>
      <w:r w:rsidRPr="0094410E">
        <w:t>exekuce, ve které pohledávka oprávněného (věřitele) nepřesahuje částku 1 500 Kč bez příslušenství</w:t>
      </w:r>
      <w:r w:rsidR="003A5134">
        <w:t>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Centrální evidence exekucí</w:t>
      </w:r>
      <w:r w:rsidRPr="0094410E">
        <w:t xml:space="preserve"> – veřejný seznam provozovaný Exekutorskou komorou ČR. Spolehlivá databáze, která umožňuje zjišťovat základní informace o exekucích vedených proti konkrétní osobě. Výpis z CEE získáte za poplatek získat na webu www.ceecr.cz, osobně v sídle Exekutorské komory ČR v Praze a na pobočce v Brně, nebo na pobočce České pošty s Czech </w:t>
      </w:r>
      <w:proofErr w:type="spellStart"/>
      <w:r w:rsidRPr="0094410E">
        <w:t>POINTem</w:t>
      </w:r>
      <w:proofErr w:type="spellEnd"/>
      <w:r w:rsidRPr="0094410E">
        <w:t xml:space="preserve">. </w:t>
      </w:r>
    </w:p>
    <w:p w:rsidR="0094410E" w:rsidRDefault="0094410E" w:rsidP="00257AB8">
      <w:pPr>
        <w:jc w:val="both"/>
      </w:pPr>
      <w:r w:rsidRPr="0094410E">
        <w:rPr>
          <w:b/>
        </w:rPr>
        <w:t>Datová schránka</w:t>
      </w:r>
      <w:r w:rsidRPr="0094410E">
        <w:t xml:space="preserve"> – elektronické úložiště určené pro doručování dokumentů v elektronické podobě; orgány veřejné moci jsou povinny do ní zasílat písemnosti, pokud má adresát datovou schránku zpřístupněnou; její zřízení lze doporučit osobám, které maj</w:t>
      </w:r>
      <w:r w:rsidR="003A5134">
        <w:t xml:space="preserve">í problémy s doručováním pošty. Více na </w:t>
      </w:r>
      <w:hyperlink r:id="rId8" w:history="1">
        <w:r w:rsidR="003A5134" w:rsidRPr="003F0628">
          <w:rPr>
            <w:rStyle w:val="Hypertextovodkaz"/>
          </w:rPr>
          <w:t>www.datoveschranky.info</w:t>
        </w:r>
      </w:hyperlink>
    </w:p>
    <w:p w:rsidR="0094410E" w:rsidRDefault="0094410E" w:rsidP="00257AB8">
      <w:pPr>
        <w:jc w:val="both"/>
      </w:pPr>
      <w:r w:rsidRPr="0094410E">
        <w:rPr>
          <w:b/>
        </w:rPr>
        <w:t>Exekuční návrh</w:t>
      </w:r>
      <w:r w:rsidRPr="0094410E">
        <w:t xml:space="preserve"> – návrh věřitele, kterým se zahajuje exekuční řízení; nejpozději do 15 dnů od doručení návrhu požádá exekutor exekuční soud o pověření vedením exekuce. Návrh musí obsahovat mimo jiné určení exekutora, který má exekuci provést. Jeho přílohou je vždy originál nebo ověřená kopie exekučního titulu s doložkou vykonatelnosti</w:t>
      </w:r>
      <w:r w:rsidR="003A5134">
        <w:t>.</w:t>
      </w:r>
    </w:p>
    <w:p w:rsidR="00584248" w:rsidRPr="0094410E" w:rsidRDefault="00584248" w:rsidP="00257AB8">
      <w:pPr>
        <w:jc w:val="both"/>
      </w:pPr>
    </w:p>
    <w:p w:rsidR="0094410E" w:rsidRPr="0094410E" w:rsidRDefault="0094410E" w:rsidP="00257AB8">
      <w:pPr>
        <w:jc w:val="both"/>
      </w:pPr>
      <w:r w:rsidRPr="0094410E">
        <w:rPr>
          <w:b/>
        </w:rPr>
        <w:lastRenderedPageBreak/>
        <w:t>Exekuční příkaz</w:t>
      </w:r>
      <w:r w:rsidRPr="0094410E">
        <w:t xml:space="preserve"> – rozhodnutí soudního exekutora o konkrétním způsobu provedení exekuce. Pokud se jedná o peněžitou pohledávku, provádí se exekuce srážkami ze mzdy a jiných příjmů, přikázáním pohledávky, prodejem movitých či nemovitých věcí, postižením závodu, správou nemovitých věcí a v případě vymáhání dlužného výživného na nezletilé dítě i pozastavením řidičského oprávnění. Exekuci lze provádět i více způsoby současně</w:t>
      </w:r>
      <w:r w:rsidR="003A5134">
        <w:t>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Exekuční řád, občanský soudní řád</w:t>
      </w:r>
      <w:r w:rsidRPr="0094410E">
        <w:t xml:space="preserve"> – právní předpisy, které určují postup soudního exekutora při výkonu exekuce</w:t>
      </w:r>
      <w:r w:rsidR="003A5134">
        <w:t>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Exekuční řízení</w:t>
      </w:r>
      <w:r w:rsidRPr="0094410E">
        <w:t xml:space="preserve"> – proces, v němž je postihován majetek dlužníka a na základě exekučního titulu vymáhána pohledávka věřitele</w:t>
      </w:r>
      <w:r w:rsidR="003A5134">
        <w:t>.</w:t>
      </w:r>
      <w:r w:rsidRPr="0094410E">
        <w:t xml:space="preserve"> 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Exekuční titul</w:t>
      </w:r>
      <w:r w:rsidRPr="0094410E">
        <w:t xml:space="preserve"> – rozhodnutí (zpravidla soudu) nebo jiná veřejná listina, o které to stanoví exekuční řád (občanský soudní řád), která ukládá dlužníkovi povinnost nebo potvrzuje existenci pohledávky. Je to nutný předpoklad pro vedení exekuce</w:t>
      </w:r>
      <w:r w:rsidR="003A5134">
        <w:t>.</w:t>
      </w:r>
      <w:r w:rsidRPr="0094410E">
        <w:t xml:space="preserve"> 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Exekutorská komora ČR</w:t>
      </w:r>
      <w:r w:rsidRPr="0094410E">
        <w:t xml:space="preserve"> – stavovská organizace profesní samosprávy sdružující soudní exekutory; jedná se dohledový orgán nad činností exekutorů, nemá pravomoc zasahovat do jednotlivých řízení (</w:t>
      </w:r>
      <w:hyperlink r:id="rId9" w:history="1">
        <w:r w:rsidRPr="0094410E">
          <w:rPr>
            <w:rStyle w:val="Hypertextovodkaz"/>
          </w:rPr>
          <w:t>www.ekcr.cz</w:t>
        </w:r>
      </w:hyperlink>
      <w:r w:rsidRPr="0094410E">
        <w:t xml:space="preserve">) 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Exekutorský úřad</w:t>
      </w:r>
      <w:r w:rsidRPr="0094410E">
        <w:t xml:space="preserve"> – úřad, do něhož ministr spravedlnosti jmenoval soudního exekutora. 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Fikce doručení</w:t>
      </w:r>
      <w:r w:rsidRPr="0094410E">
        <w:t xml:space="preserve"> </w:t>
      </w:r>
      <w:proofErr w:type="gramStart"/>
      <w:r w:rsidRPr="0094410E">
        <w:t>–  znamená</w:t>
      </w:r>
      <w:proofErr w:type="gramEnd"/>
      <w:r w:rsidRPr="0094410E">
        <w:t xml:space="preserve">, že i </w:t>
      </w:r>
      <w:r w:rsidR="004F3C17">
        <w:t xml:space="preserve"> </w:t>
      </w:r>
      <w:r w:rsidRPr="0094410E">
        <w:t>když  si dlužník úřední zásilku určenou do vlastních rukou fakticky nepřevezme, považuje se po uplynutí 10 dnů od jejího uložení za doručenou</w:t>
      </w:r>
      <w:r w:rsidR="003A5134">
        <w:t>.</w:t>
      </w:r>
      <w:r w:rsidRPr="0094410E">
        <w:t xml:space="preserve"> </w:t>
      </w:r>
    </w:p>
    <w:p w:rsidR="0094410E" w:rsidRPr="0094410E" w:rsidRDefault="0094410E" w:rsidP="00257AB8">
      <w:pPr>
        <w:jc w:val="both"/>
        <w:rPr>
          <w:b/>
        </w:rPr>
      </w:pPr>
      <w:r w:rsidRPr="0094410E">
        <w:rPr>
          <w:b/>
        </w:rPr>
        <w:t xml:space="preserve">Generální </w:t>
      </w:r>
      <w:proofErr w:type="spellStart"/>
      <w:r w:rsidRPr="0094410E">
        <w:rPr>
          <w:b/>
        </w:rPr>
        <w:t>inhibitorium</w:t>
      </w:r>
      <w:proofErr w:type="spellEnd"/>
      <w:r w:rsidRPr="0094410E">
        <w:t xml:space="preserve"> – zákaz, aby povinný nakládal s veškerým svým majetkem (až na zákonem vymezené výjimky); nastává okamžikem, kdy se povinný (dlužník) o zahájení exekuce dozví</w:t>
      </w:r>
      <w:r w:rsidR="003A5134">
        <w:t>.</w:t>
      </w:r>
    </w:p>
    <w:p w:rsidR="0094410E" w:rsidRPr="0094410E" w:rsidRDefault="003A5134" w:rsidP="00257AB8">
      <w:pPr>
        <w:jc w:val="both"/>
      </w:pPr>
      <w:r>
        <w:rPr>
          <w:b/>
        </w:rPr>
        <w:t xml:space="preserve">Marná exekuce </w:t>
      </w:r>
      <w:r w:rsidRPr="003A5134">
        <w:rPr>
          <w:b/>
        </w:rPr>
        <w:t xml:space="preserve">– </w:t>
      </w:r>
      <w:r w:rsidR="0094410E" w:rsidRPr="0094410E">
        <w:t>exekuce, v níž částka vymožená za posledních šest let nepokryje ani náklady exekuce a současně není exekucí postižena nemovitá věc</w:t>
      </w:r>
      <w:r>
        <w:t>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Mobiliární exekuce</w:t>
      </w:r>
      <w:r w:rsidRPr="0094410E">
        <w:t xml:space="preserve"> – vymáhání pohledávky spočívající v soupisu movitého majetku dlužníka, případně i jeho zaj</w:t>
      </w:r>
      <w:r w:rsidR="004F3C17">
        <w:t xml:space="preserve">ištění (odvezení) a prodeji. O </w:t>
      </w:r>
      <w:r w:rsidRPr="0094410E">
        <w:t>jejím průběhu musí vykonavatel pořídit audiovizuální záznam; povinný musí umožnit vykonavateli přístup na všechna místa, kde má své movité věci umístěny. Když tak neučiní, je vykonavatel oprávněn zjednat si d</w:t>
      </w:r>
      <w:r w:rsidR="003A5134">
        <w:t>o bytu či místnosti přístup sám.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Nalézací řízení</w:t>
      </w:r>
      <w:r w:rsidRPr="0094410E">
        <w:t xml:space="preserve"> – obvykle soudní řízení, které předchází exekuci, a ve kterém soud nalézá právo - dochází k závěru o tom, kdo je věřitel, kdo je dlužník, jak vysoká je např. dlužná částka a stanovuje, do kdy má být uhrazena; nerespektuje-li dlužník rozhodnutí soudu a uloženou povinnost do stanoveného data nesplní, stává se rozsudek tzv. exekučním titulem</w:t>
      </w:r>
      <w:r w:rsidR="003A5134">
        <w:t>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Náklady exekuce</w:t>
      </w:r>
      <w:r w:rsidRPr="0094410E">
        <w:t xml:space="preserve"> – součást exekučně vymáhané částky, skládají se z odměny soudního exekutora, z paušálně určených či účelně vynaložených hotových výdajů, z náhrady za ztrátu času při exekuci, náhrady za doručování písemností a daně z přidané hodnoty. Náklady a jejich výši určuje exekutor v rozhodnutí nazvaném „příkaz k úhradě nákladů exekuce“.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Oprávněný</w:t>
      </w:r>
      <w:r w:rsidRPr="0094410E">
        <w:t xml:space="preserve"> – věřitel, jehož vykonatelným exekučním titulem přiznaná pohledávka nebyla dobrovolně uhrazena; pouze tato osoba může podat návrh na zahájení exekuce; označuje se tak jedna strana účastníků řízení</w:t>
      </w:r>
      <w:r w:rsidR="003A5134">
        <w:t>.</w:t>
      </w:r>
      <w:r w:rsidRPr="0094410E">
        <w:t xml:space="preserve"> </w:t>
      </w:r>
    </w:p>
    <w:p w:rsidR="003A5134" w:rsidRPr="003A5134" w:rsidRDefault="0094410E" w:rsidP="00257AB8">
      <w:pPr>
        <w:jc w:val="both"/>
      </w:pPr>
      <w:r w:rsidRPr="0094410E">
        <w:rPr>
          <w:b/>
        </w:rPr>
        <w:t>Portál dražeb</w:t>
      </w:r>
      <w:r w:rsidRPr="0094410E">
        <w:t xml:space="preserve"> – internetový portál provozovaný Exekutorskou komorou ČR; eviduje veškeré exekuční dražby movitých a nemovitých věcí a závodů (www.portaldrazeb.cz)</w:t>
      </w:r>
    </w:p>
    <w:p w:rsidR="0094410E" w:rsidRPr="0094410E" w:rsidRDefault="0094410E" w:rsidP="00257AB8">
      <w:pPr>
        <w:jc w:val="both"/>
      </w:pPr>
      <w:r w:rsidRPr="0094410E">
        <w:rPr>
          <w:b/>
        </w:rPr>
        <w:lastRenderedPageBreak/>
        <w:t>Pověření exekutora vedením exekuce</w:t>
      </w:r>
      <w:r w:rsidRPr="0094410E">
        <w:t xml:space="preserve"> – úkon exekučního soudu, jímž za splnění zákonných předpokladů pověří exekutora vedením exekuce; pověření není rozhodnutím a nedoručuje se účastníkům řízení</w:t>
      </w:r>
      <w:r w:rsidR="003A5134">
        <w:t>.</w:t>
      </w:r>
      <w:r w:rsidRPr="0094410E">
        <w:t xml:space="preserve"> </w:t>
      </w:r>
    </w:p>
    <w:p w:rsidR="0094410E" w:rsidRPr="0094410E" w:rsidRDefault="0094410E" w:rsidP="00257AB8">
      <w:pPr>
        <w:jc w:val="both"/>
      </w:pPr>
      <w:r w:rsidRPr="0094410E">
        <w:rPr>
          <w:b/>
        </w:rPr>
        <w:t xml:space="preserve">Povinný </w:t>
      </w:r>
      <w:r w:rsidRPr="0094410E">
        <w:t>– dlužník, který řádně a včas nesplnil dluh potvrzený vykonatelným exekučním titulem; označuje se tak jedna strana účastníků řízení</w:t>
      </w:r>
      <w:r w:rsidR="003A5134">
        <w:t>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Právní moc</w:t>
      </w:r>
      <w:r w:rsidRPr="0094410E">
        <w:t xml:space="preserve"> – vlastnost rozhodnutí, která ho pro účastníky činí konečným, závazným a nezměnitelným; nastává doručením rozhodnutí všem účastníkům a uplynutím případné lhůty pro podání řádného opravného prostředku (nejčastěji odvolání)</w:t>
      </w:r>
      <w:r w:rsidR="003A5134">
        <w:t>.</w:t>
      </w:r>
      <w:r w:rsidRPr="0094410E">
        <w:t xml:space="preserve"> 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Přikázání pohledávky</w:t>
      </w:r>
      <w:r w:rsidRPr="0094410E">
        <w:t xml:space="preserve"> – způsob provedení exekuce, kterým je postižena pohledávka povinného (dlužníka) za třetí osobou nebo např. bankou, u níž má povinný účet</w:t>
      </w:r>
      <w:r w:rsidR="003A5134">
        <w:t>.</w:t>
      </w:r>
      <w:r w:rsidRPr="0094410E">
        <w:t xml:space="preserve"> 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Seznam listin o manželském majetkovém režimu</w:t>
      </w:r>
      <w:r w:rsidRPr="0094410E">
        <w:t xml:space="preserve"> – elektronický seznam vedený Notářskou komorou ČR, v němž jsou evidovány manželské smlouvy či soudní rozhodnutí upravující rozsah společného jmění manželů. Exekutor do něj povinně nahlíží a zohledňuje informace v něm uvedené před vydáním exekučního příkazu postihujícího majetek náležející do společného jmění manželů, pokud vymáhá dluh vzniklý po zápisu listiny do Seznamu listin</w:t>
      </w:r>
      <w:r w:rsidR="003A5134">
        <w:t xml:space="preserve"> o manželském majetkovém režimu.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Soudní exekutor</w:t>
      </w:r>
      <w:r w:rsidRPr="0094410E">
        <w:t xml:space="preserve"> – úřední osoba, kterou stát pověřil exekutorským úřadem, v rámci něhož soudní exekutor provádí nucený výkon exekučních titulů dle exekučního řádu; každému exekutorovi je přiděleno trojčíslí, které je součástí spisové značky každého exekučního řízení; exekutorem může být jmenován pouze občan České republiky, který mimo jiné má vysokoškolské právnické vzdělání, je bezúhonný, vykonal alespoň tříletou exekutorskou praxi a složil exekutorskou zkoušku; kompletní seznam exekutorů i s jejich kontaktními údaji je k dispozici na webových stránkách </w:t>
      </w:r>
      <w:hyperlink r:id="rId10" w:history="1">
        <w:r w:rsidRPr="0094410E">
          <w:rPr>
            <w:rStyle w:val="Hypertextovodkaz"/>
          </w:rPr>
          <w:t>www.ekcr.cz</w:t>
        </w:r>
      </w:hyperlink>
      <w:r w:rsidRPr="0094410E">
        <w:t xml:space="preserve"> 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Splátkový kalendář</w:t>
      </w:r>
      <w:r w:rsidRPr="0094410E">
        <w:t xml:space="preserve"> – dohoda o postupném splácení vymáhané částky; exekutor nemá povinnost souhlasit s takovou dohodou, musí ovšem od povinného přijmout každou (i částečnou) úhradu; i když exekutor se splátkami nebo jejich výší nesouhlasí, lze na sdělené platební údaje (číslo účtu a variabilní symbol) zasílat splátky i bez dohody </w:t>
      </w:r>
      <w:r w:rsidR="003A5134">
        <w:t>a zabránit nárůstu dluhu.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Společné jmění manželů</w:t>
      </w:r>
      <w:r w:rsidRPr="0094410E">
        <w:t xml:space="preserve"> – forma spoluvlastnictví, která se vyskytuje výhradně u manželů; je tvořena majetkem a dluhy nabytými za trvání manželství i v případě, že dluh vznikl jen jednomu z manželů; ze zákona lze za určitých okolností exekučně postihnout i majetek tvořící součást společného jmění manželů; účastníkem řízení se pak stává i manžel dlužníka</w:t>
      </w:r>
      <w:r w:rsidR="003A5134">
        <w:t>.</w:t>
      </w:r>
      <w:r w:rsidRPr="0094410E">
        <w:t xml:space="preserve"> 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Srážky ze mzdy</w:t>
      </w:r>
      <w:r w:rsidRPr="0094410E">
        <w:t xml:space="preserve"> – způsob provedení exekuce založený na příkazu zaměstnavateli (plátci mzdy) dlužníka, aby část mzdy dlužníka, vypočtenou podle zákonných pravidel, srazil a poukázal exekutorovi na úhradu dluhu</w:t>
      </w:r>
      <w:r w:rsidR="003A5134">
        <w:t>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Vyklizení nemovité věci</w:t>
      </w:r>
      <w:r w:rsidRPr="0094410E">
        <w:t xml:space="preserve"> – způsob provedení exekuce spočívající ve vykázání osob užívajících nemovitou věc bez právního důvodu a vystěho</w:t>
      </w:r>
      <w:r w:rsidR="003A5134">
        <w:t>vání věcí nacházejících se v ní.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Vykonatelnos</w:t>
      </w:r>
      <w:r w:rsidRPr="0094410E">
        <w:t>t – okamžik, od kterého lze rozhodnutí nuceně (v rámci exekuce či výkonu rozhodnutí) vykonat; zpravidla je vázána na uplynutí lhůty ke splnění</w:t>
      </w:r>
      <w:r w:rsidR="003A5134">
        <w:t xml:space="preserve"> povinnosti uložené rozhodnutím.</w:t>
      </w:r>
    </w:p>
    <w:p w:rsidR="0094410E" w:rsidRDefault="0094410E" w:rsidP="00257AB8">
      <w:pPr>
        <w:jc w:val="both"/>
      </w:pPr>
      <w:r w:rsidRPr="0094410E">
        <w:rPr>
          <w:b/>
        </w:rPr>
        <w:t xml:space="preserve">Vykonavatel </w:t>
      </w:r>
      <w:r w:rsidRPr="0094410E">
        <w:t xml:space="preserve">– zaměstnanec exekutora, který může být pověřen prováděním určitých úkonů. Zpravidla se jedná o výjezdy do místa pobytu dlužníka a to kvůli pořízení soupisu movitých věcí. Vykonavatel se při provádění mobiliární exekuce musí prokázat služebním průkazem a </w:t>
      </w:r>
      <w:r w:rsidRPr="0094410E">
        <w:lastRenderedPageBreak/>
        <w:t xml:space="preserve">exekučním příkazem. Tuto práci může dělat jen, pokud absolvoval povinnou praxi a složil odbornou zkoušku. 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Vymahač</w:t>
      </w:r>
      <w:r w:rsidRPr="0094410E">
        <w:t xml:space="preserve"> – zaměstnanec různých soukromých agentur a vymahačských firem, jenž nemá s exekutory nic společného; nemá žádné pravomoci, jimiž dle exekučního řádu disponuje exekutor; nemůže postihovat majetek dlužníka, není ve svém postupu vázán na existenci exekučního titulu, nemusí se řídit procesními pravidly</w:t>
      </w:r>
      <w:r w:rsidR="003A5134">
        <w:t>.</w:t>
      </w:r>
      <w:r w:rsidRPr="0094410E">
        <w:t xml:space="preserve"> </w:t>
      </w:r>
    </w:p>
    <w:p w:rsidR="0094410E" w:rsidRPr="0094410E" w:rsidRDefault="0094410E" w:rsidP="00257AB8">
      <w:pPr>
        <w:jc w:val="both"/>
      </w:pPr>
      <w:r w:rsidRPr="0094410E">
        <w:rPr>
          <w:b/>
        </w:rPr>
        <w:t>Vyškrtnutí věci ze soupisu</w:t>
      </w:r>
      <w:r w:rsidRPr="0094410E">
        <w:t xml:space="preserve"> – podání návrhu na vyškrtnutí věci ze soupisu je způsob, kterým se vlastník movité věci může bránit, pokud exekutor sepsal věc, která nepatří dlužníkovi; návrh se podává exekutorovi, který věc sepsal, do 30 dní ode dne, kdy se vlastník o soupisu dozvěděl; k návrhu je třeba připojit důkazy; o návrhu rozhodne exekutor do 15 dnů od jeho doručení; pokud není návrhu na vyškrtnutí vyhověno, může vlastník věci u soudu podat do 30 dnů od doruče</w:t>
      </w:r>
      <w:r w:rsidR="003A5134">
        <w:t>ní rozhodnutí vylučovací žalobu.</w:t>
      </w:r>
    </w:p>
    <w:p w:rsidR="0094410E" w:rsidRDefault="0094410E" w:rsidP="00257AB8">
      <w:pPr>
        <w:jc w:val="both"/>
      </w:pPr>
      <w:r w:rsidRPr="0094410E">
        <w:rPr>
          <w:b/>
        </w:rPr>
        <w:t xml:space="preserve">Zástavní </w:t>
      </w:r>
      <w:r w:rsidR="00791B46" w:rsidRPr="0094410E">
        <w:rPr>
          <w:b/>
        </w:rPr>
        <w:t xml:space="preserve">exekutorské </w:t>
      </w:r>
      <w:r w:rsidRPr="0094410E">
        <w:rPr>
          <w:b/>
        </w:rPr>
        <w:t xml:space="preserve">právo </w:t>
      </w:r>
      <w:r w:rsidRPr="0094410E">
        <w:t>– na návrh oprávněného se zahajuje řízení ke zřízení exekutorského zástavního práva na nemovitých věcech povinného, které slouží k zajištění pohledávky.</w:t>
      </w:r>
    </w:p>
    <w:p w:rsidR="003A5134" w:rsidRDefault="0041648D" w:rsidP="00257AB8">
      <w:pPr>
        <w:jc w:val="both"/>
      </w:pPr>
      <w:r>
        <w:rPr>
          <w:u w:val="single"/>
        </w:rPr>
        <w:t xml:space="preserve">Náš dovětek: </w:t>
      </w:r>
    </w:p>
    <w:p w:rsidR="003A5134" w:rsidRDefault="003A5134" w:rsidP="00257AB8">
      <w:pPr>
        <w:jc w:val="both"/>
      </w:pPr>
      <w:r w:rsidRPr="003A5134">
        <w:rPr>
          <w:b/>
        </w:rPr>
        <w:t>Zvlášť zranitelná osoba</w:t>
      </w:r>
      <w:r>
        <w:t xml:space="preserve"> - </w:t>
      </w:r>
      <w:r w:rsidRPr="003A5134">
        <w:t>osob</w:t>
      </w:r>
      <w:r>
        <w:t>a</w:t>
      </w:r>
      <w:r w:rsidRPr="003A5134">
        <w:t xml:space="preserve"> ve starobním důchodu se starobním důchodem nepřes</w:t>
      </w:r>
      <w:r>
        <w:t xml:space="preserve">ahujícím částku minimální mzdy, dále </w:t>
      </w:r>
      <w:r w:rsidRPr="003A5134">
        <w:t>osob</w:t>
      </w:r>
      <w:r>
        <w:t>a</w:t>
      </w:r>
      <w:r w:rsidRPr="003A5134">
        <w:t xml:space="preserve"> v invalidním důchodu ve druhém nebo třetím</w:t>
      </w:r>
      <w:r w:rsidR="00BC5CE8">
        <w:t xml:space="preserve"> stupni </w:t>
      </w:r>
      <w:r w:rsidRPr="003A5134">
        <w:t>a v neposledním případě dlužn</w:t>
      </w:r>
      <w:r w:rsidR="00BC5CE8">
        <w:t>ík</w:t>
      </w:r>
      <w:r w:rsidRPr="003A5134">
        <w:t>, vůči kter</w:t>
      </w:r>
      <w:r w:rsidR="00BC5CE8">
        <w:t>ému</w:t>
      </w:r>
      <w:r w:rsidRPr="003A5134">
        <w:t xml:space="preserve"> je v exekuci vymáhána pohledávka vzniklá před</w:t>
      </w:r>
      <w:r w:rsidR="00BC5CE8">
        <w:t xml:space="preserve"> dosažením 18 let věku</w:t>
      </w:r>
      <w:r w:rsidRPr="003A5134">
        <w:t>.</w:t>
      </w:r>
      <w:r w:rsidR="00BC5CE8" w:rsidRPr="00BC5CE8">
        <w:t xml:space="preserve"> </w:t>
      </w:r>
      <w:r w:rsidR="00791B46">
        <w:t>Dnes sporadická</w:t>
      </w:r>
      <w:r w:rsidR="00791B46" w:rsidRPr="00BC5CE8">
        <w:t xml:space="preserve"> </w:t>
      </w:r>
      <w:r w:rsidR="00791B46">
        <w:t>e</w:t>
      </w:r>
      <w:r w:rsidR="00BC5CE8" w:rsidRPr="00BC5CE8">
        <w:t>xekuce pro</w:t>
      </w:r>
      <w:r w:rsidR="00BC5CE8">
        <w:t xml:space="preserve">dejem movitých věcí </w:t>
      </w:r>
      <w:r w:rsidR="0000153B">
        <w:t xml:space="preserve">takové osoby se </w:t>
      </w:r>
      <w:r w:rsidR="00BC5CE8" w:rsidRPr="00BC5CE8">
        <w:t>může týkat pouze věcí, jejichž počet nebo hodnota neodpovídá obvyklým majetkovým poměrům</w:t>
      </w:r>
      <w:r w:rsidR="00BC5CE8">
        <w:t>. Nelze tedy zabavit například televizi</w:t>
      </w:r>
      <w:r w:rsidR="00BC5CE8" w:rsidRPr="00BC5CE8">
        <w:t>.</w:t>
      </w:r>
      <w:r w:rsidR="00BC5CE8">
        <w:t xml:space="preserve"> Ochrana ovšem neplatí </w:t>
      </w:r>
      <w:r w:rsidR="00BC5CE8" w:rsidRPr="00BC5CE8">
        <w:t xml:space="preserve">v exekuci, </w:t>
      </w:r>
      <w:r w:rsidR="00BC5CE8">
        <w:t>kde</w:t>
      </w:r>
      <w:r w:rsidR="0000153B">
        <w:t xml:space="preserve"> je vymáháno výživné</w:t>
      </w:r>
      <w:r w:rsidR="00BC5CE8" w:rsidRPr="00BC5CE8">
        <w:t xml:space="preserve">, pohledávka </w:t>
      </w:r>
      <w:r w:rsidR="00BC5CE8">
        <w:t xml:space="preserve">státu </w:t>
      </w:r>
      <w:r w:rsidR="00BC5CE8" w:rsidRPr="00BC5CE8">
        <w:t>za náhra</w:t>
      </w:r>
      <w:r w:rsidR="00050AC4">
        <w:t xml:space="preserve">dní výživné a </w:t>
      </w:r>
      <w:r w:rsidR="00BC5CE8" w:rsidRPr="00BC5CE8">
        <w:t>náhrad</w:t>
      </w:r>
      <w:r w:rsidR="0000153B">
        <w:t>a</w:t>
      </w:r>
      <w:r w:rsidR="00BC5CE8">
        <w:t xml:space="preserve"> škody</w:t>
      </w:r>
      <w:r w:rsidR="00BC5CE8" w:rsidRPr="00BC5CE8">
        <w:t xml:space="preserve"> způsobené ublížením na zdraví, trestn</w:t>
      </w:r>
      <w:r w:rsidR="00BC5CE8">
        <w:t xml:space="preserve">ým činem nebo přestupkem a jiným </w:t>
      </w:r>
      <w:r w:rsidR="00BC5CE8" w:rsidRPr="00BC5CE8">
        <w:t>úmyslným protiprávním jednáním.</w:t>
      </w:r>
    </w:p>
    <w:p w:rsidR="00863EDA" w:rsidRDefault="00FC71AC" w:rsidP="00257AB8">
      <w:pPr>
        <w:jc w:val="both"/>
      </w:pPr>
      <w:r>
        <w:t>K</w:t>
      </w:r>
      <w:r w:rsidR="0041648D">
        <w:t> výše uvedenému j</w:t>
      </w:r>
      <w:r w:rsidR="00863EDA">
        <w:t xml:space="preserve">eště dodávám, že </w:t>
      </w:r>
      <w:r w:rsidR="00584248">
        <w:t>E</w:t>
      </w:r>
      <w:r w:rsidR="00863EDA">
        <w:t xml:space="preserve">xekutorská komora </w:t>
      </w:r>
      <w:r w:rsidR="00584248">
        <w:t xml:space="preserve">našemu spolku </w:t>
      </w:r>
      <w:r w:rsidR="00863EDA">
        <w:t>nabízí zdarma po celé republice přednášky na téma exekuce a finanční gramotnost a některé odbočky této nabídky již využily</w:t>
      </w:r>
      <w:r w:rsidR="00584248">
        <w:t xml:space="preserve">. V případě zájmu mě prosím kontaktujte.  </w:t>
      </w:r>
    </w:p>
    <w:p w:rsidR="006B1EF9" w:rsidRDefault="006B1EF9" w:rsidP="00257AB8">
      <w:pPr>
        <w:jc w:val="both"/>
      </w:pPr>
    </w:p>
    <w:p w:rsidR="0041648D" w:rsidRDefault="00D24508" w:rsidP="00257AB8">
      <w:pPr>
        <w:jc w:val="both"/>
      </w:pPr>
      <w:r>
        <w:t>A</w:t>
      </w:r>
      <w:r w:rsidR="006B1EF9">
        <w:t>bychom se nezabývali jen šedou přítomností</w:t>
      </w:r>
      <w:r w:rsidR="00611D09">
        <w:t xml:space="preserve">, bude-li pro to prostor, </w:t>
      </w:r>
      <w:r>
        <w:t>pokusím se</w:t>
      </w:r>
      <w:r w:rsidR="006B1EF9">
        <w:t xml:space="preserve"> vás v příštích vydáních zaujmout několika kapitolami z historie sociálního zabezpečení. </w:t>
      </w:r>
      <w:r w:rsidR="008A3619">
        <w:t xml:space="preserve">Právě ono lidem garantuje určité základní jistoty a </w:t>
      </w:r>
      <w:r w:rsidR="00611D09">
        <w:t xml:space="preserve">patří k civilizované společnosti. Věřím, že alespoň některé z vás bude tento „seriál“ bavit. </w:t>
      </w:r>
    </w:p>
    <w:p w:rsidR="006100B0" w:rsidRDefault="006100B0" w:rsidP="00257AB8">
      <w:pPr>
        <w:jc w:val="both"/>
      </w:pPr>
    </w:p>
    <w:p w:rsidR="00BC5CE8" w:rsidRDefault="00BC5CE8" w:rsidP="00BC5CE8">
      <w:pPr>
        <w:jc w:val="both"/>
        <w:rPr>
          <w:bCs/>
          <w:i/>
          <w:szCs w:val="24"/>
        </w:rPr>
      </w:pPr>
      <w:r w:rsidRPr="000C424E">
        <w:rPr>
          <w:bCs/>
          <w:i/>
          <w:szCs w:val="24"/>
        </w:rPr>
        <w:t>Za Sociálně-právní poradnu Václava Baudišová</w:t>
      </w:r>
    </w:p>
    <w:p w:rsidR="001B36CE" w:rsidRDefault="001B36CE" w:rsidP="00715639"/>
    <w:p w:rsidR="0094410E" w:rsidRDefault="0094410E" w:rsidP="001B36CE">
      <w:pPr>
        <w:jc w:val="both"/>
        <w:rPr>
          <w:bCs/>
          <w:i/>
          <w:szCs w:val="24"/>
        </w:rPr>
      </w:pPr>
    </w:p>
    <w:sectPr w:rsidR="0094410E" w:rsidSect="005733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A40" w:rsidRDefault="00D87A40" w:rsidP="00477E49">
      <w:pPr>
        <w:spacing w:after="0" w:line="240" w:lineRule="auto"/>
      </w:pPr>
      <w:r>
        <w:separator/>
      </w:r>
    </w:p>
  </w:endnote>
  <w:endnote w:type="continuationSeparator" w:id="0">
    <w:p w:rsidR="00D87A40" w:rsidRDefault="00D87A40" w:rsidP="0047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40" w:rsidRDefault="00D87A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133589"/>
      <w:docPartObj>
        <w:docPartGallery w:val="Page Numbers (Bottom of Page)"/>
        <w:docPartUnique/>
      </w:docPartObj>
    </w:sdtPr>
    <w:sdtEndPr/>
    <w:sdtContent>
      <w:p w:rsidR="00D87A40" w:rsidRDefault="009C31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A40" w:rsidRDefault="00D87A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40" w:rsidRDefault="00D87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A40" w:rsidRDefault="00D87A40" w:rsidP="00477E49">
      <w:pPr>
        <w:spacing w:after="0" w:line="240" w:lineRule="auto"/>
      </w:pPr>
      <w:r>
        <w:separator/>
      </w:r>
    </w:p>
  </w:footnote>
  <w:footnote w:type="continuationSeparator" w:id="0">
    <w:p w:rsidR="00D87A40" w:rsidRDefault="00D87A40" w:rsidP="0047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40" w:rsidRDefault="00D87A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40" w:rsidRDefault="00D87A40">
    <w:pPr>
      <w:pStyle w:val="Zhlav"/>
    </w:pPr>
  </w:p>
  <w:p w:rsidR="00D87A40" w:rsidRDefault="00D87A40">
    <w:pPr>
      <w:pStyle w:val="Zhlav"/>
    </w:pPr>
  </w:p>
  <w:p w:rsidR="00D87A40" w:rsidRDefault="00D87A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40" w:rsidRDefault="00D87A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571"/>
    <w:multiLevelType w:val="hybridMultilevel"/>
    <w:tmpl w:val="8A984BD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1869C1"/>
    <w:multiLevelType w:val="hybridMultilevel"/>
    <w:tmpl w:val="15247652"/>
    <w:lvl w:ilvl="0" w:tplc="69DA2D0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6A30A1"/>
    <w:multiLevelType w:val="hybridMultilevel"/>
    <w:tmpl w:val="491AD77E"/>
    <w:lvl w:ilvl="0" w:tplc="93BAF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38A7"/>
    <w:multiLevelType w:val="hybridMultilevel"/>
    <w:tmpl w:val="D876C8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20CFA"/>
    <w:multiLevelType w:val="hybridMultilevel"/>
    <w:tmpl w:val="1916D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10BF"/>
    <w:multiLevelType w:val="hybridMultilevel"/>
    <w:tmpl w:val="7210688A"/>
    <w:lvl w:ilvl="0" w:tplc="187A80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2BDE"/>
    <w:multiLevelType w:val="hybridMultilevel"/>
    <w:tmpl w:val="00A4F59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FB17D31"/>
    <w:multiLevelType w:val="hybridMultilevel"/>
    <w:tmpl w:val="C12655B6"/>
    <w:lvl w:ilvl="0" w:tplc="F230C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D3E57"/>
    <w:multiLevelType w:val="hybridMultilevel"/>
    <w:tmpl w:val="8B84D7BC"/>
    <w:lvl w:ilvl="0" w:tplc="1F4CF9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135C"/>
    <w:multiLevelType w:val="multilevel"/>
    <w:tmpl w:val="BEF6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D514A"/>
    <w:multiLevelType w:val="hybridMultilevel"/>
    <w:tmpl w:val="34E2497E"/>
    <w:lvl w:ilvl="0" w:tplc="F000E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7335"/>
    <w:multiLevelType w:val="hybridMultilevel"/>
    <w:tmpl w:val="F3489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4750"/>
    <w:multiLevelType w:val="hybridMultilevel"/>
    <w:tmpl w:val="0D9C8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C6674"/>
    <w:multiLevelType w:val="hybridMultilevel"/>
    <w:tmpl w:val="7C7E6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B17E9"/>
    <w:multiLevelType w:val="hybridMultilevel"/>
    <w:tmpl w:val="3B72CF0E"/>
    <w:lvl w:ilvl="0" w:tplc="141260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017301"/>
    <w:multiLevelType w:val="hybridMultilevel"/>
    <w:tmpl w:val="CAF81A8E"/>
    <w:lvl w:ilvl="0" w:tplc="3A7AAAEC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A46161"/>
    <w:multiLevelType w:val="hybridMultilevel"/>
    <w:tmpl w:val="2FD8BEE0"/>
    <w:lvl w:ilvl="0" w:tplc="68FE5EF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DE2D69"/>
    <w:multiLevelType w:val="hybridMultilevel"/>
    <w:tmpl w:val="B546E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77B9C"/>
    <w:multiLevelType w:val="hybridMultilevel"/>
    <w:tmpl w:val="A4E6A038"/>
    <w:lvl w:ilvl="0" w:tplc="10EEE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07E78"/>
    <w:multiLevelType w:val="multilevel"/>
    <w:tmpl w:val="C5560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6C4B28"/>
    <w:multiLevelType w:val="hybridMultilevel"/>
    <w:tmpl w:val="714E1AC4"/>
    <w:lvl w:ilvl="0" w:tplc="6CE274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834CA9"/>
    <w:multiLevelType w:val="multilevel"/>
    <w:tmpl w:val="C5560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FAE7A3C"/>
    <w:multiLevelType w:val="hybridMultilevel"/>
    <w:tmpl w:val="C0C28226"/>
    <w:lvl w:ilvl="0" w:tplc="48568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7E6F1A"/>
    <w:multiLevelType w:val="hybridMultilevel"/>
    <w:tmpl w:val="59FC7ABA"/>
    <w:lvl w:ilvl="0" w:tplc="C34E1A96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894F67"/>
    <w:multiLevelType w:val="multilevel"/>
    <w:tmpl w:val="CDC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7652C"/>
    <w:multiLevelType w:val="hybridMultilevel"/>
    <w:tmpl w:val="1CF8C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024DF"/>
    <w:multiLevelType w:val="hybridMultilevel"/>
    <w:tmpl w:val="69C29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132F5"/>
    <w:multiLevelType w:val="hybridMultilevel"/>
    <w:tmpl w:val="4BB82156"/>
    <w:lvl w:ilvl="0" w:tplc="9F4A7F8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ACF4F29"/>
    <w:multiLevelType w:val="hybridMultilevel"/>
    <w:tmpl w:val="5DF4B4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35902"/>
    <w:multiLevelType w:val="hybridMultilevel"/>
    <w:tmpl w:val="42FE6E7E"/>
    <w:lvl w:ilvl="0" w:tplc="9D60E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2F1060"/>
    <w:multiLevelType w:val="hybridMultilevel"/>
    <w:tmpl w:val="C0AC31D6"/>
    <w:lvl w:ilvl="0" w:tplc="1F4CF9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A0333"/>
    <w:multiLevelType w:val="hybridMultilevel"/>
    <w:tmpl w:val="F2A69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97F88"/>
    <w:multiLevelType w:val="hybridMultilevel"/>
    <w:tmpl w:val="ABF42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50717"/>
    <w:multiLevelType w:val="hybridMultilevel"/>
    <w:tmpl w:val="4080F7CC"/>
    <w:lvl w:ilvl="0" w:tplc="1F4CF9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F1F7F"/>
    <w:multiLevelType w:val="hybridMultilevel"/>
    <w:tmpl w:val="11729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E235A"/>
    <w:multiLevelType w:val="multilevel"/>
    <w:tmpl w:val="BE9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16"/>
  </w:num>
  <w:num w:numId="5">
    <w:abstractNumId w:val="23"/>
  </w:num>
  <w:num w:numId="6">
    <w:abstractNumId w:val="1"/>
  </w:num>
  <w:num w:numId="7">
    <w:abstractNumId w:val="31"/>
  </w:num>
  <w:num w:numId="8">
    <w:abstractNumId w:val="22"/>
  </w:num>
  <w:num w:numId="9">
    <w:abstractNumId w:val="17"/>
  </w:num>
  <w:num w:numId="10">
    <w:abstractNumId w:val="14"/>
  </w:num>
  <w:num w:numId="11">
    <w:abstractNumId w:val="32"/>
  </w:num>
  <w:num w:numId="12">
    <w:abstractNumId w:val="29"/>
  </w:num>
  <w:num w:numId="13">
    <w:abstractNumId w:val="4"/>
  </w:num>
  <w:num w:numId="14">
    <w:abstractNumId w:val="20"/>
  </w:num>
  <w:num w:numId="15">
    <w:abstractNumId w:val="25"/>
  </w:num>
  <w:num w:numId="16">
    <w:abstractNumId w:val="6"/>
  </w:num>
  <w:num w:numId="17">
    <w:abstractNumId w:val="3"/>
  </w:num>
  <w:num w:numId="18">
    <w:abstractNumId w:val="11"/>
  </w:num>
  <w:num w:numId="19">
    <w:abstractNumId w:val="21"/>
  </w:num>
  <w:num w:numId="20">
    <w:abstractNumId w:val="19"/>
  </w:num>
  <w:num w:numId="21">
    <w:abstractNumId w:val="15"/>
  </w:num>
  <w:num w:numId="22">
    <w:abstractNumId w:val="9"/>
  </w:num>
  <w:num w:numId="23">
    <w:abstractNumId w:val="35"/>
  </w:num>
  <w:num w:numId="24">
    <w:abstractNumId w:val="24"/>
  </w:num>
  <w:num w:numId="25">
    <w:abstractNumId w:val="18"/>
  </w:num>
  <w:num w:numId="26">
    <w:abstractNumId w:val="12"/>
  </w:num>
  <w:num w:numId="27">
    <w:abstractNumId w:val="7"/>
  </w:num>
  <w:num w:numId="28">
    <w:abstractNumId w:val="27"/>
  </w:num>
  <w:num w:numId="29">
    <w:abstractNumId w:val="0"/>
  </w:num>
  <w:num w:numId="30">
    <w:abstractNumId w:val="34"/>
  </w:num>
  <w:num w:numId="31">
    <w:abstractNumId w:val="5"/>
  </w:num>
  <w:num w:numId="32">
    <w:abstractNumId w:val="13"/>
  </w:num>
  <w:num w:numId="33">
    <w:abstractNumId w:val="33"/>
  </w:num>
  <w:num w:numId="34">
    <w:abstractNumId w:val="30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859"/>
    <w:rsid w:val="0000153B"/>
    <w:rsid w:val="000016D0"/>
    <w:rsid w:val="0000218C"/>
    <w:rsid w:val="000055BE"/>
    <w:rsid w:val="00006BAF"/>
    <w:rsid w:val="00010E58"/>
    <w:rsid w:val="00016E0D"/>
    <w:rsid w:val="00017F32"/>
    <w:rsid w:val="00020F18"/>
    <w:rsid w:val="000210CC"/>
    <w:rsid w:val="00021944"/>
    <w:rsid w:val="00031340"/>
    <w:rsid w:val="00032553"/>
    <w:rsid w:val="0003307D"/>
    <w:rsid w:val="00035C90"/>
    <w:rsid w:val="000365AE"/>
    <w:rsid w:val="00036662"/>
    <w:rsid w:val="00036E12"/>
    <w:rsid w:val="00040801"/>
    <w:rsid w:val="00044E25"/>
    <w:rsid w:val="00050AC4"/>
    <w:rsid w:val="000513AA"/>
    <w:rsid w:val="00051E8A"/>
    <w:rsid w:val="00052788"/>
    <w:rsid w:val="000532E2"/>
    <w:rsid w:val="000534D0"/>
    <w:rsid w:val="00054A90"/>
    <w:rsid w:val="00055AB7"/>
    <w:rsid w:val="00057996"/>
    <w:rsid w:val="00060EF4"/>
    <w:rsid w:val="0007068A"/>
    <w:rsid w:val="00070C22"/>
    <w:rsid w:val="0007238B"/>
    <w:rsid w:val="000724C0"/>
    <w:rsid w:val="000755B1"/>
    <w:rsid w:val="00085898"/>
    <w:rsid w:val="00085F64"/>
    <w:rsid w:val="0008664B"/>
    <w:rsid w:val="000871B4"/>
    <w:rsid w:val="0008772B"/>
    <w:rsid w:val="00095A33"/>
    <w:rsid w:val="000A06F8"/>
    <w:rsid w:val="000A0C6A"/>
    <w:rsid w:val="000A7416"/>
    <w:rsid w:val="000B0573"/>
    <w:rsid w:val="000B28CD"/>
    <w:rsid w:val="000B2EB7"/>
    <w:rsid w:val="000B31E0"/>
    <w:rsid w:val="000C37AD"/>
    <w:rsid w:val="000C38B0"/>
    <w:rsid w:val="000C424E"/>
    <w:rsid w:val="000C4A91"/>
    <w:rsid w:val="000C71D7"/>
    <w:rsid w:val="000D7945"/>
    <w:rsid w:val="000E390E"/>
    <w:rsid w:val="000F10C9"/>
    <w:rsid w:val="000F490D"/>
    <w:rsid w:val="000F5710"/>
    <w:rsid w:val="000F7AE5"/>
    <w:rsid w:val="00101B03"/>
    <w:rsid w:val="00104BD0"/>
    <w:rsid w:val="001062B8"/>
    <w:rsid w:val="001131C0"/>
    <w:rsid w:val="00113BCC"/>
    <w:rsid w:val="0011641D"/>
    <w:rsid w:val="001174A0"/>
    <w:rsid w:val="0011767A"/>
    <w:rsid w:val="00117CF1"/>
    <w:rsid w:val="00122523"/>
    <w:rsid w:val="00122C36"/>
    <w:rsid w:val="00122E50"/>
    <w:rsid w:val="001233B3"/>
    <w:rsid w:val="00125EF2"/>
    <w:rsid w:val="00127052"/>
    <w:rsid w:val="001270AD"/>
    <w:rsid w:val="00131AF8"/>
    <w:rsid w:val="0013244C"/>
    <w:rsid w:val="00136903"/>
    <w:rsid w:val="00137FBD"/>
    <w:rsid w:val="00140113"/>
    <w:rsid w:val="00140CA0"/>
    <w:rsid w:val="001531D6"/>
    <w:rsid w:val="00153C32"/>
    <w:rsid w:val="00156479"/>
    <w:rsid w:val="00157652"/>
    <w:rsid w:val="001611C9"/>
    <w:rsid w:val="001614EF"/>
    <w:rsid w:val="00165EAD"/>
    <w:rsid w:val="00174A11"/>
    <w:rsid w:val="001756D6"/>
    <w:rsid w:val="00175860"/>
    <w:rsid w:val="001779C9"/>
    <w:rsid w:val="001801AC"/>
    <w:rsid w:val="00182FC3"/>
    <w:rsid w:val="00190B0C"/>
    <w:rsid w:val="00191705"/>
    <w:rsid w:val="00191DBE"/>
    <w:rsid w:val="0019286E"/>
    <w:rsid w:val="00194022"/>
    <w:rsid w:val="001A1C65"/>
    <w:rsid w:val="001A3CD1"/>
    <w:rsid w:val="001A426E"/>
    <w:rsid w:val="001B36CE"/>
    <w:rsid w:val="001B41F4"/>
    <w:rsid w:val="001B69E6"/>
    <w:rsid w:val="001B707A"/>
    <w:rsid w:val="001C115F"/>
    <w:rsid w:val="001C12AA"/>
    <w:rsid w:val="001C17BB"/>
    <w:rsid w:val="001C2E0A"/>
    <w:rsid w:val="001C6644"/>
    <w:rsid w:val="001C685D"/>
    <w:rsid w:val="001D09F5"/>
    <w:rsid w:val="001D2221"/>
    <w:rsid w:val="001D2BA5"/>
    <w:rsid w:val="001D7D81"/>
    <w:rsid w:val="001E091E"/>
    <w:rsid w:val="001E0E0B"/>
    <w:rsid w:val="001E29D8"/>
    <w:rsid w:val="001E355D"/>
    <w:rsid w:val="001E5B7F"/>
    <w:rsid w:val="001E6CE1"/>
    <w:rsid w:val="001E72A6"/>
    <w:rsid w:val="001F0F7F"/>
    <w:rsid w:val="001F203A"/>
    <w:rsid w:val="001F2BB2"/>
    <w:rsid w:val="001F396E"/>
    <w:rsid w:val="00204EE3"/>
    <w:rsid w:val="00205C71"/>
    <w:rsid w:val="00206859"/>
    <w:rsid w:val="00212098"/>
    <w:rsid w:val="00216330"/>
    <w:rsid w:val="00222041"/>
    <w:rsid w:val="0022233D"/>
    <w:rsid w:val="00223219"/>
    <w:rsid w:val="00225315"/>
    <w:rsid w:val="00225415"/>
    <w:rsid w:val="002267C2"/>
    <w:rsid w:val="00227D9D"/>
    <w:rsid w:val="00230574"/>
    <w:rsid w:val="0023110A"/>
    <w:rsid w:val="00231A1B"/>
    <w:rsid w:val="00232FE5"/>
    <w:rsid w:val="0023358A"/>
    <w:rsid w:val="0023443D"/>
    <w:rsid w:val="002374F2"/>
    <w:rsid w:val="00243C20"/>
    <w:rsid w:val="00243D39"/>
    <w:rsid w:val="00245929"/>
    <w:rsid w:val="00246068"/>
    <w:rsid w:val="002479FB"/>
    <w:rsid w:val="00252212"/>
    <w:rsid w:val="00254128"/>
    <w:rsid w:val="00257AB8"/>
    <w:rsid w:val="00262D1B"/>
    <w:rsid w:val="002640DE"/>
    <w:rsid w:val="002653A8"/>
    <w:rsid w:val="00266016"/>
    <w:rsid w:val="00266B11"/>
    <w:rsid w:val="002670A3"/>
    <w:rsid w:val="00267BCB"/>
    <w:rsid w:val="0027234C"/>
    <w:rsid w:val="002746AE"/>
    <w:rsid w:val="00274B3E"/>
    <w:rsid w:val="00275331"/>
    <w:rsid w:val="00276061"/>
    <w:rsid w:val="00280DC3"/>
    <w:rsid w:val="00281FC8"/>
    <w:rsid w:val="00282B06"/>
    <w:rsid w:val="002906E3"/>
    <w:rsid w:val="00292415"/>
    <w:rsid w:val="002941B1"/>
    <w:rsid w:val="00296DE7"/>
    <w:rsid w:val="002A0F9F"/>
    <w:rsid w:val="002A5A08"/>
    <w:rsid w:val="002A62C0"/>
    <w:rsid w:val="002A69BE"/>
    <w:rsid w:val="002B2CF9"/>
    <w:rsid w:val="002B57CF"/>
    <w:rsid w:val="002B5AF3"/>
    <w:rsid w:val="002C68E0"/>
    <w:rsid w:val="002C76BB"/>
    <w:rsid w:val="002D2A73"/>
    <w:rsid w:val="002E3217"/>
    <w:rsid w:val="002E4290"/>
    <w:rsid w:val="002E6CD7"/>
    <w:rsid w:val="002E77D7"/>
    <w:rsid w:val="002F0F9D"/>
    <w:rsid w:val="002F3B67"/>
    <w:rsid w:val="002F427B"/>
    <w:rsid w:val="002F4CFF"/>
    <w:rsid w:val="002F7AAD"/>
    <w:rsid w:val="002F7FC7"/>
    <w:rsid w:val="003002B7"/>
    <w:rsid w:val="00300E63"/>
    <w:rsid w:val="0030699D"/>
    <w:rsid w:val="003112FC"/>
    <w:rsid w:val="003144AC"/>
    <w:rsid w:val="00314B61"/>
    <w:rsid w:val="00314FCC"/>
    <w:rsid w:val="00322AB6"/>
    <w:rsid w:val="003300FF"/>
    <w:rsid w:val="0033208B"/>
    <w:rsid w:val="003334E6"/>
    <w:rsid w:val="0033621A"/>
    <w:rsid w:val="00337472"/>
    <w:rsid w:val="0034639A"/>
    <w:rsid w:val="00347929"/>
    <w:rsid w:val="00351D91"/>
    <w:rsid w:val="0035391F"/>
    <w:rsid w:val="00361502"/>
    <w:rsid w:val="00361B38"/>
    <w:rsid w:val="00363B2C"/>
    <w:rsid w:val="00370DA0"/>
    <w:rsid w:val="00373252"/>
    <w:rsid w:val="0037495D"/>
    <w:rsid w:val="00375A2C"/>
    <w:rsid w:val="00377B4C"/>
    <w:rsid w:val="003832E1"/>
    <w:rsid w:val="00383A89"/>
    <w:rsid w:val="00386077"/>
    <w:rsid w:val="0038632B"/>
    <w:rsid w:val="0039068E"/>
    <w:rsid w:val="0039305D"/>
    <w:rsid w:val="00394FDF"/>
    <w:rsid w:val="003950E0"/>
    <w:rsid w:val="003A095B"/>
    <w:rsid w:val="003A3D67"/>
    <w:rsid w:val="003A5134"/>
    <w:rsid w:val="003B11F7"/>
    <w:rsid w:val="003B1232"/>
    <w:rsid w:val="003B2A44"/>
    <w:rsid w:val="003C35E0"/>
    <w:rsid w:val="003C44DE"/>
    <w:rsid w:val="003C6520"/>
    <w:rsid w:val="003D3852"/>
    <w:rsid w:val="003E20E1"/>
    <w:rsid w:val="003E475F"/>
    <w:rsid w:val="003E7F76"/>
    <w:rsid w:val="003F5C20"/>
    <w:rsid w:val="004018EE"/>
    <w:rsid w:val="004021B4"/>
    <w:rsid w:val="00405569"/>
    <w:rsid w:val="004101A3"/>
    <w:rsid w:val="00414719"/>
    <w:rsid w:val="004160E4"/>
    <w:rsid w:val="0041648D"/>
    <w:rsid w:val="00420669"/>
    <w:rsid w:val="00420B06"/>
    <w:rsid w:val="004210A9"/>
    <w:rsid w:val="00425DF5"/>
    <w:rsid w:val="004313B9"/>
    <w:rsid w:val="00435B58"/>
    <w:rsid w:val="0044126D"/>
    <w:rsid w:val="0044197A"/>
    <w:rsid w:val="004420B5"/>
    <w:rsid w:val="00445360"/>
    <w:rsid w:val="00445C74"/>
    <w:rsid w:val="00445E7F"/>
    <w:rsid w:val="004465D0"/>
    <w:rsid w:val="004475D7"/>
    <w:rsid w:val="004501B0"/>
    <w:rsid w:val="0045096E"/>
    <w:rsid w:val="004533E3"/>
    <w:rsid w:val="00453B9A"/>
    <w:rsid w:val="00455486"/>
    <w:rsid w:val="004571B9"/>
    <w:rsid w:val="00457886"/>
    <w:rsid w:val="00462B8E"/>
    <w:rsid w:val="0046459B"/>
    <w:rsid w:val="004676CC"/>
    <w:rsid w:val="004709F5"/>
    <w:rsid w:val="00471EC4"/>
    <w:rsid w:val="00474952"/>
    <w:rsid w:val="00477E49"/>
    <w:rsid w:val="00480110"/>
    <w:rsid w:val="00480657"/>
    <w:rsid w:val="00482AAD"/>
    <w:rsid w:val="00485A06"/>
    <w:rsid w:val="0048627F"/>
    <w:rsid w:val="0048739B"/>
    <w:rsid w:val="004879F7"/>
    <w:rsid w:val="004900CE"/>
    <w:rsid w:val="00490A9B"/>
    <w:rsid w:val="00491574"/>
    <w:rsid w:val="004932EE"/>
    <w:rsid w:val="00495B89"/>
    <w:rsid w:val="004A02C3"/>
    <w:rsid w:val="004A2ECF"/>
    <w:rsid w:val="004A327A"/>
    <w:rsid w:val="004A5166"/>
    <w:rsid w:val="004B709B"/>
    <w:rsid w:val="004C4B3B"/>
    <w:rsid w:val="004D3D22"/>
    <w:rsid w:val="004D526C"/>
    <w:rsid w:val="004E2294"/>
    <w:rsid w:val="004E4A02"/>
    <w:rsid w:val="004E55EB"/>
    <w:rsid w:val="004E5DE2"/>
    <w:rsid w:val="004E65EC"/>
    <w:rsid w:val="004E6DC5"/>
    <w:rsid w:val="004F13EB"/>
    <w:rsid w:val="004F1DB7"/>
    <w:rsid w:val="004F1E40"/>
    <w:rsid w:val="004F3556"/>
    <w:rsid w:val="004F3C17"/>
    <w:rsid w:val="004F6DE0"/>
    <w:rsid w:val="005044EC"/>
    <w:rsid w:val="00505B39"/>
    <w:rsid w:val="00505B54"/>
    <w:rsid w:val="005109EE"/>
    <w:rsid w:val="00513801"/>
    <w:rsid w:val="00516528"/>
    <w:rsid w:val="005171AD"/>
    <w:rsid w:val="00522410"/>
    <w:rsid w:val="0052279B"/>
    <w:rsid w:val="0052794B"/>
    <w:rsid w:val="00527A19"/>
    <w:rsid w:val="00531AD1"/>
    <w:rsid w:val="00532153"/>
    <w:rsid w:val="005338CF"/>
    <w:rsid w:val="00536C79"/>
    <w:rsid w:val="00540F91"/>
    <w:rsid w:val="005420DE"/>
    <w:rsid w:val="00543860"/>
    <w:rsid w:val="00551298"/>
    <w:rsid w:val="005548B5"/>
    <w:rsid w:val="00555107"/>
    <w:rsid w:val="00555A15"/>
    <w:rsid w:val="00555E18"/>
    <w:rsid w:val="00555E4A"/>
    <w:rsid w:val="00555F95"/>
    <w:rsid w:val="00557EEE"/>
    <w:rsid w:val="005604DE"/>
    <w:rsid w:val="00560599"/>
    <w:rsid w:val="00561613"/>
    <w:rsid w:val="005622B1"/>
    <w:rsid w:val="005631B8"/>
    <w:rsid w:val="00565FEE"/>
    <w:rsid w:val="0056633D"/>
    <w:rsid w:val="00573388"/>
    <w:rsid w:val="00575DD2"/>
    <w:rsid w:val="00576805"/>
    <w:rsid w:val="00577A33"/>
    <w:rsid w:val="0058092E"/>
    <w:rsid w:val="00580D14"/>
    <w:rsid w:val="005813CE"/>
    <w:rsid w:val="005828ED"/>
    <w:rsid w:val="00584248"/>
    <w:rsid w:val="00584497"/>
    <w:rsid w:val="00584B5B"/>
    <w:rsid w:val="00587124"/>
    <w:rsid w:val="005875A9"/>
    <w:rsid w:val="0059079A"/>
    <w:rsid w:val="0059715D"/>
    <w:rsid w:val="005A6952"/>
    <w:rsid w:val="005B2DAE"/>
    <w:rsid w:val="005C0316"/>
    <w:rsid w:val="005C0E8B"/>
    <w:rsid w:val="005C1583"/>
    <w:rsid w:val="005C4DAE"/>
    <w:rsid w:val="005C7198"/>
    <w:rsid w:val="005C78B2"/>
    <w:rsid w:val="005D0A2A"/>
    <w:rsid w:val="005D121D"/>
    <w:rsid w:val="005D397F"/>
    <w:rsid w:val="005D43B7"/>
    <w:rsid w:val="005D4C26"/>
    <w:rsid w:val="005D7AF6"/>
    <w:rsid w:val="005F0A7A"/>
    <w:rsid w:val="005F0DCE"/>
    <w:rsid w:val="005F0E18"/>
    <w:rsid w:val="005F516B"/>
    <w:rsid w:val="006008AC"/>
    <w:rsid w:val="00601B5E"/>
    <w:rsid w:val="00605A2A"/>
    <w:rsid w:val="006100B0"/>
    <w:rsid w:val="006115CF"/>
    <w:rsid w:val="00611D09"/>
    <w:rsid w:val="00612A97"/>
    <w:rsid w:val="00614A7C"/>
    <w:rsid w:val="00617BB0"/>
    <w:rsid w:val="00621E21"/>
    <w:rsid w:val="006256C5"/>
    <w:rsid w:val="006258B7"/>
    <w:rsid w:val="00626D59"/>
    <w:rsid w:val="00626EEC"/>
    <w:rsid w:val="00631E40"/>
    <w:rsid w:val="00633589"/>
    <w:rsid w:val="00641666"/>
    <w:rsid w:val="00642AEF"/>
    <w:rsid w:val="00652BF4"/>
    <w:rsid w:val="00653879"/>
    <w:rsid w:val="0065744C"/>
    <w:rsid w:val="00657680"/>
    <w:rsid w:val="00660B90"/>
    <w:rsid w:val="00660C7F"/>
    <w:rsid w:val="00660F21"/>
    <w:rsid w:val="00662869"/>
    <w:rsid w:val="00665946"/>
    <w:rsid w:val="00666635"/>
    <w:rsid w:val="00666680"/>
    <w:rsid w:val="006669A3"/>
    <w:rsid w:val="00671B07"/>
    <w:rsid w:val="00673BEE"/>
    <w:rsid w:val="006761CA"/>
    <w:rsid w:val="006779D2"/>
    <w:rsid w:val="00680CDE"/>
    <w:rsid w:val="00681E48"/>
    <w:rsid w:val="0068461D"/>
    <w:rsid w:val="006868CD"/>
    <w:rsid w:val="006943E0"/>
    <w:rsid w:val="006947B9"/>
    <w:rsid w:val="0069660F"/>
    <w:rsid w:val="00697C98"/>
    <w:rsid w:val="006B1EF9"/>
    <w:rsid w:val="006B2B46"/>
    <w:rsid w:val="006C0DA5"/>
    <w:rsid w:val="006C500A"/>
    <w:rsid w:val="006C6F1E"/>
    <w:rsid w:val="006D2FD2"/>
    <w:rsid w:val="006D5F0A"/>
    <w:rsid w:val="006E0358"/>
    <w:rsid w:val="006E1645"/>
    <w:rsid w:val="006E4FD0"/>
    <w:rsid w:val="006F17B3"/>
    <w:rsid w:val="006F5FF9"/>
    <w:rsid w:val="00702509"/>
    <w:rsid w:val="0070730C"/>
    <w:rsid w:val="00711703"/>
    <w:rsid w:val="00712649"/>
    <w:rsid w:val="00715639"/>
    <w:rsid w:val="00715F1D"/>
    <w:rsid w:val="00717756"/>
    <w:rsid w:val="007203FC"/>
    <w:rsid w:val="00720936"/>
    <w:rsid w:val="007212CF"/>
    <w:rsid w:val="00727E98"/>
    <w:rsid w:val="0073120C"/>
    <w:rsid w:val="00732274"/>
    <w:rsid w:val="007356B6"/>
    <w:rsid w:val="00735F48"/>
    <w:rsid w:val="007374C7"/>
    <w:rsid w:val="00741AB3"/>
    <w:rsid w:val="00743AD9"/>
    <w:rsid w:val="00744263"/>
    <w:rsid w:val="00747697"/>
    <w:rsid w:val="00751E9A"/>
    <w:rsid w:val="00756830"/>
    <w:rsid w:val="0076013A"/>
    <w:rsid w:val="00763950"/>
    <w:rsid w:val="0076413A"/>
    <w:rsid w:val="00767206"/>
    <w:rsid w:val="0076732A"/>
    <w:rsid w:val="00780EDC"/>
    <w:rsid w:val="00783FBB"/>
    <w:rsid w:val="00785B37"/>
    <w:rsid w:val="00786E06"/>
    <w:rsid w:val="00787193"/>
    <w:rsid w:val="00790976"/>
    <w:rsid w:val="00790A69"/>
    <w:rsid w:val="00791B46"/>
    <w:rsid w:val="00796A82"/>
    <w:rsid w:val="007A16A9"/>
    <w:rsid w:val="007A1D74"/>
    <w:rsid w:val="007A629C"/>
    <w:rsid w:val="007B1A66"/>
    <w:rsid w:val="007B1DA1"/>
    <w:rsid w:val="007B34DC"/>
    <w:rsid w:val="007B5D60"/>
    <w:rsid w:val="007C22F9"/>
    <w:rsid w:val="007C3D81"/>
    <w:rsid w:val="007C5769"/>
    <w:rsid w:val="007C771F"/>
    <w:rsid w:val="007D2C80"/>
    <w:rsid w:val="007D3042"/>
    <w:rsid w:val="007D7CAF"/>
    <w:rsid w:val="007E0290"/>
    <w:rsid w:val="007E1C26"/>
    <w:rsid w:val="007E2EF8"/>
    <w:rsid w:val="007E5D19"/>
    <w:rsid w:val="007F039F"/>
    <w:rsid w:val="007F33C1"/>
    <w:rsid w:val="007F4AF5"/>
    <w:rsid w:val="007F4E06"/>
    <w:rsid w:val="007F6D92"/>
    <w:rsid w:val="007F6DAF"/>
    <w:rsid w:val="007F7A12"/>
    <w:rsid w:val="0080127D"/>
    <w:rsid w:val="00802A06"/>
    <w:rsid w:val="00802D6B"/>
    <w:rsid w:val="00805457"/>
    <w:rsid w:val="008131B9"/>
    <w:rsid w:val="00814887"/>
    <w:rsid w:val="008149B4"/>
    <w:rsid w:val="00815A6C"/>
    <w:rsid w:val="00815D99"/>
    <w:rsid w:val="00816CB7"/>
    <w:rsid w:val="0081739A"/>
    <w:rsid w:val="00824FEE"/>
    <w:rsid w:val="008266E0"/>
    <w:rsid w:val="00826EAF"/>
    <w:rsid w:val="00830620"/>
    <w:rsid w:val="00832F4D"/>
    <w:rsid w:val="0083403D"/>
    <w:rsid w:val="00834E9D"/>
    <w:rsid w:val="0083616D"/>
    <w:rsid w:val="00836AA1"/>
    <w:rsid w:val="0083724E"/>
    <w:rsid w:val="00837E14"/>
    <w:rsid w:val="008427D2"/>
    <w:rsid w:val="00844BD2"/>
    <w:rsid w:val="00844FB5"/>
    <w:rsid w:val="00852C50"/>
    <w:rsid w:val="0085475D"/>
    <w:rsid w:val="00860D01"/>
    <w:rsid w:val="008635EA"/>
    <w:rsid w:val="00863EB8"/>
    <w:rsid w:val="00863EDA"/>
    <w:rsid w:val="00870392"/>
    <w:rsid w:val="0087149D"/>
    <w:rsid w:val="00875247"/>
    <w:rsid w:val="00880BFC"/>
    <w:rsid w:val="00887514"/>
    <w:rsid w:val="00890C0B"/>
    <w:rsid w:val="00890E3B"/>
    <w:rsid w:val="00892497"/>
    <w:rsid w:val="008924F5"/>
    <w:rsid w:val="00895D23"/>
    <w:rsid w:val="008A311E"/>
    <w:rsid w:val="008A31E2"/>
    <w:rsid w:val="008A3619"/>
    <w:rsid w:val="008A4901"/>
    <w:rsid w:val="008A5CE1"/>
    <w:rsid w:val="008A67B0"/>
    <w:rsid w:val="008C0B78"/>
    <w:rsid w:val="008C2C54"/>
    <w:rsid w:val="008C2D2C"/>
    <w:rsid w:val="008C3644"/>
    <w:rsid w:val="008C544A"/>
    <w:rsid w:val="008C5AEA"/>
    <w:rsid w:val="008D0B34"/>
    <w:rsid w:val="008D2210"/>
    <w:rsid w:val="008D237A"/>
    <w:rsid w:val="008D28FD"/>
    <w:rsid w:val="008D78AD"/>
    <w:rsid w:val="008E401A"/>
    <w:rsid w:val="008E6212"/>
    <w:rsid w:val="008F01B3"/>
    <w:rsid w:val="008F478F"/>
    <w:rsid w:val="008F6AA8"/>
    <w:rsid w:val="008F7D83"/>
    <w:rsid w:val="00901047"/>
    <w:rsid w:val="0090146E"/>
    <w:rsid w:val="00901E3A"/>
    <w:rsid w:val="009113A5"/>
    <w:rsid w:val="00914EB3"/>
    <w:rsid w:val="00914F87"/>
    <w:rsid w:val="00916BD7"/>
    <w:rsid w:val="00922453"/>
    <w:rsid w:val="009228DB"/>
    <w:rsid w:val="00925C70"/>
    <w:rsid w:val="009300E4"/>
    <w:rsid w:val="009315DD"/>
    <w:rsid w:val="009319C7"/>
    <w:rsid w:val="009324CB"/>
    <w:rsid w:val="009343D5"/>
    <w:rsid w:val="009372D4"/>
    <w:rsid w:val="00942BFE"/>
    <w:rsid w:val="00943A17"/>
    <w:rsid w:val="0094410E"/>
    <w:rsid w:val="009457A9"/>
    <w:rsid w:val="0094585A"/>
    <w:rsid w:val="0094768E"/>
    <w:rsid w:val="0095077E"/>
    <w:rsid w:val="009532AC"/>
    <w:rsid w:val="00956DB7"/>
    <w:rsid w:val="00960E90"/>
    <w:rsid w:val="00962E1B"/>
    <w:rsid w:val="00970C83"/>
    <w:rsid w:val="009767E2"/>
    <w:rsid w:val="00976DC8"/>
    <w:rsid w:val="00976EEC"/>
    <w:rsid w:val="009810FD"/>
    <w:rsid w:val="00982269"/>
    <w:rsid w:val="00982738"/>
    <w:rsid w:val="00983387"/>
    <w:rsid w:val="00983EDB"/>
    <w:rsid w:val="0098711F"/>
    <w:rsid w:val="00990DFB"/>
    <w:rsid w:val="0099166F"/>
    <w:rsid w:val="00991CAA"/>
    <w:rsid w:val="00992521"/>
    <w:rsid w:val="009A1AB3"/>
    <w:rsid w:val="009A3758"/>
    <w:rsid w:val="009A40B7"/>
    <w:rsid w:val="009A650C"/>
    <w:rsid w:val="009B06FA"/>
    <w:rsid w:val="009B3470"/>
    <w:rsid w:val="009B388C"/>
    <w:rsid w:val="009B3DDB"/>
    <w:rsid w:val="009B6F31"/>
    <w:rsid w:val="009B7A14"/>
    <w:rsid w:val="009C1764"/>
    <w:rsid w:val="009C1AA9"/>
    <w:rsid w:val="009C1CA4"/>
    <w:rsid w:val="009C219B"/>
    <w:rsid w:val="009C3121"/>
    <w:rsid w:val="009C437D"/>
    <w:rsid w:val="009C5348"/>
    <w:rsid w:val="009C67CE"/>
    <w:rsid w:val="009D0DED"/>
    <w:rsid w:val="009D2AE8"/>
    <w:rsid w:val="009D33FA"/>
    <w:rsid w:val="009D76C4"/>
    <w:rsid w:val="009E04B8"/>
    <w:rsid w:val="009E0F93"/>
    <w:rsid w:val="009E323B"/>
    <w:rsid w:val="009E3516"/>
    <w:rsid w:val="009E496E"/>
    <w:rsid w:val="009F0C99"/>
    <w:rsid w:val="009F10B2"/>
    <w:rsid w:val="00A00DD5"/>
    <w:rsid w:val="00A01525"/>
    <w:rsid w:val="00A04154"/>
    <w:rsid w:val="00A05BC6"/>
    <w:rsid w:val="00A066EF"/>
    <w:rsid w:val="00A0716E"/>
    <w:rsid w:val="00A10B61"/>
    <w:rsid w:val="00A10C7B"/>
    <w:rsid w:val="00A135C3"/>
    <w:rsid w:val="00A13BED"/>
    <w:rsid w:val="00A14F83"/>
    <w:rsid w:val="00A1787D"/>
    <w:rsid w:val="00A200B6"/>
    <w:rsid w:val="00A2100D"/>
    <w:rsid w:val="00A25DD5"/>
    <w:rsid w:val="00A330F4"/>
    <w:rsid w:val="00A358DA"/>
    <w:rsid w:val="00A44DCB"/>
    <w:rsid w:val="00A46624"/>
    <w:rsid w:val="00A478C8"/>
    <w:rsid w:val="00A51E88"/>
    <w:rsid w:val="00A5202F"/>
    <w:rsid w:val="00A551E0"/>
    <w:rsid w:val="00A62E71"/>
    <w:rsid w:val="00A764AF"/>
    <w:rsid w:val="00A776B2"/>
    <w:rsid w:val="00A81E4C"/>
    <w:rsid w:val="00A939C5"/>
    <w:rsid w:val="00A94DF9"/>
    <w:rsid w:val="00A963C3"/>
    <w:rsid w:val="00A96562"/>
    <w:rsid w:val="00A96754"/>
    <w:rsid w:val="00A97C9E"/>
    <w:rsid w:val="00AA1A2A"/>
    <w:rsid w:val="00AB3C0B"/>
    <w:rsid w:val="00AB7137"/>
    <w:rsid w:val="00AC075A"/>
    <w:rsid w:val="00AC267B"/>
    <w:rsid w:val="00AC7A21"/>
    <w:rsid w:val="00AC7B38"/>
    <w:rsid w:val="00AD06A3"/>
    <w:rsid w:val="00AD18EC"/>
    <w:rsid w:val="00AD19BA"/>
    <w:rsid w:val="00AD2DF4"/>
    <w:rsid w:val="00AD3568"/>
    <w:rsid w:val="00AD4A03"/>
    <w:rsid w:val="00AD4AA0"/>
    <w:rsid w:val="00AD6B6B"/>
    <w:rsid w:val="00AE4F53"/>
    <w:rsid w:val="00AE53B8"/>
    <w:rsid w:val="00AE5499"/>
    <w:rsid w:val="00AE77B1"/>
    <w:rsid w:val="00AE7D2B"/>
    <w:rsid w:val="00AF2DCE"/>
    <w:rsid w:val="00B004E1"/>
    <w:rsid w:val="00B01D0A"/>
    <w:rsid w:val="00B10A3F"/>
    <w:rsid w:val="00B14ECF"/>
    <w:rsid w:val="00B1531C"/>
    <w:rsid w:val="00B17FD1"/>
    <w:rsid w:val="00B237F0"/>
    <w:rsid w:val="00B2640D"/>
    <w:rsid w:val="00B27483"/>
    <w:rsid w:val="00B32B93"/>
    <w:rsid w:val="00B33254"/>
    <w:rsid w:val="00B35032"/>
    <w:rsid w:val="00B37C8B"/>
    <w:rsid w:val="00B43F57"/>
    <w:rsid w:val="00B440C0"/>
    <w:rsid w:val="00B4641F"/>
    <w:rsid w:val="00B464C7"/>
    <w:rsid w:val="00B50119"/>
    <w:rsid w:val="00B52138"/>
    <w:rsid w:val="00B57BEE"/>
    <w:rsid w:val="00B6151E"/>
    <w:rsid w:val="00B636C1"/>
    <w:rsid w:val="00B64CC8"/>
    <w:rsid w:val="00B72824"/>
    <w:rsid w:val="00B74EC1"/>
    <w:rsid w:val="00B81F8B"/>
    <w:rsid w:val="00B831D5"/>
    <w:rsid w:val="00B83300"/>
    <w:rsid w:val="00B87E1E"/>
    <w:rsid w:val="00B9056C"/>
    <w:rsid w:val="00B95512"/>
    <w:rsid w:val="00B97797"/>
    <w:rsid w:val="00BA08A5"/>
    <w:rsid w:val="00BA21A0"/>
    <w:rsid w:val="00BA34DC"/>
    <w:rsid w:val="00BA41B2"/>
    <w:rsid w:val="00BB0767"/>
    <w:rsid w:val="00BB096E"/>
    <w:rsid w:val="00BB1223"/>
    <w:rsid w:val="00BB3D58"/>
    <w:rsid w:val="00BB4C53"/>
    <w:rsid w:val="00BB55E9"/>
    <w:rsid w:val="00BC4284"/>
    <w:rsid w:val="00BC502B"/>
    <w:rsid w:val="00BC5285"/>
    <w:rsid w:val="00BC5919"/>
    <w:rsid w:val="00BC5B64"/>
    <w:rsid w:val="00BC5CE8"/>
    <w:rsid w:val="00BE1209"/>
    <w:rsid w:val="00BE1DF3"/>
    <w:rsid w:val="00BE20A7"/>
    <w:rsid w:val="00BE5B61"/>
    <w:rsid w:val="00BE638F"/>
    <w:rsid w:val="00BE67EB"/>
    <w:rsid w:val="00BF007C"/>
    <w:rsid w:val="00BF0425"/>
    <w:rsid w:val="00BF532A"/>
    <w:rsid w:val="00C005BE"/>
    <w:rsid w:val="00C01976"/>
    <w:rsid w:val="00C025B2"/>
    <w:rsid w:val="00C04B34"/>
    <w:rsid w:val="00C04CF3"/>
    <w:rsid w:val="00C15125"/>
    <w:rsid w:val="00C16BCD"/>
    <w:rsid w:val="00C17654"/>
    <w:rsid w:val="00C20F17"/>
    <w:rsid w:val="00C212C0"/>
    <w:rsid w:val="00C225DB"/>
    <w:rsid w:val="00C306AF"/>
    <w:rsid w:val="00C32118"/>
    <w:rsid w:val="00C32121"/>
    <w:rsid w:val="00C41FD1"/>
    <w:rsid w:val="00C436C5"/>
    <w:rsid w:val="00C5485A"/>
    <w:rsid w:val="00C60AB2"/>
    <w:rsid w:val="00C61C52"/>
    <w:rsid w:val="00C6232D"/>
    <w:rsid w:val="00C65164"/>
    <w:rsid w:val="00C70542"/>
    <w:rsid w:val="00C72CE2"/>
    <w:rsid w:val="00C73548"/>
    <w:rsid w:val="00C742D2"/>
    <w:rsid w:val="00C7436A"/>
    <w:rsid w:val="00C77869"/>
    <w:rsid w:val="00C77D97"/>
    <w:rsid w:val="00C80CF4"/>
    <w:rsid w:val="00C80F92"/>
    <w:rsid w:val="00C81728"/>
    <w:rsid w:val="00C8289F"/>
    <w:rsid w:val="00C8379D"/>
    <w:rsid w:val="00C8456B"/>
    <w:rsid w:val="00C85631"/>
    <w:rsid w:val="00CA1665"/>
    <w:rsid w:val="00CA472D"/>
    <w:rsid w:val="00CA7639"/>
    <w:rsid w:val="00CB06E0"/>
    <w:rsid w:val="00CB0814"/>
    <w:rsid w:val="00CB11E8"/>
    <w:rsid w:val="00CB2AA8"/>
    <w:rsid w:val="00CB30FB"/>
    <w:rsid w:val="00CB69DA"/>
    <w:rsid w:val="00CB7950"/>
    <w:rsid w:val="00CC65F9"/>
    <w:rsid w:val="00CD369E"/>
    <w:rsid w:val="00CD3977"/>
    <w:rsid w:val="00CD3F7D"/>
    <w:rsid w:val="00CD59A7"/>
    <w:rsid w:val="00CE0EBD"/>
    <w:rsid w:val="00CE1C99"/>
    <w:rsid w:val="00CE1D42"/>
    <w:rsid w:val="00CE2157"/>
    <w:rsid w:val="00CE34BB"/>
    <w:rsid w:val="00CE3583"/>
    <w:rsid w:val="00CE3DD9"/>
    <w:rsid w:val="00CE53E5"/>
    <w:rsid w:val="00CF0775"/>
    <w:rsid w:val="00CF1DA0"/>
    <w:rsid w:val="00CF39D5"/>
    <w:rsid w:val="00CF551A"/>
    <w:rsid w:val="00CF6524"/>
    <w:rsid w:val="00CF6D88"/>
    <w:rsid w:val="00D01869"/>
    <w:rsid w:val="00D033DD"/>
    <w:rsid w:val="00D0387B"/>
    <w:rsid w:val="00D04CAC"/>
    <w:rsid w:val="00D06277"/>
    <w:rsid w:val="00D062EF"/>
    <w:rsid w:val="00D12BCD"/>
    <w:rsid w:val="00D16B77"/>
    <w:rsid w:val="00D22414"/>
    <w:rsid w:val="00D24508"/>
    <w:rsid w:val="00D246F0"/>
    <w:rsid w:val="00D250BE"/>
    <w:rsid w:val="00D25750"/>
    <w:rsid w:val="00D272A9"/>
    <w:rsid w:val="00D30786"/>
    <w:rsid w:val="00D32FE3"/>
    <w:rsid w:val="00D363FE"/>
    <w:rsid w:val="00D447D1"/>
    <w:rsid w:val="00D4486F"/>
    <w:rsid w:val="00D4491E"/>
    <w:rsid w:val="00D47AED"/>
    <w:rsid w:val="00D504E9"/>
    <w:rsid w:val="00D50780"/>
    <w:rsid w:val="00D51591"/>
    <w:rsid w:val="00D51834"/>
    <w:rsid w:val="00D745CF"/>
    <w:rsid w:val="00D75EFB"/>
    <w:rsid w:val="00D77B58"/>
    <w:rsid w:val="00D832C5"/>
    <w:rsid w:val="00D8565D"/>
    <w:rsid w:val="00D87A40"/>
    <w:rsid w:val="00D956F1"/>
    <w:rsid w:val="00D95CFB"/>
    <w:rsid w:val="00D97781"/>
    <w:rsid w:val="00DB03A5"/>
    <w:rsid w:val="00DB18FD"/>
    <w:rsid w:val="00DB401D"/>
    <w:rsid w:val="00DB4B88"/>
    <w:rsid w:val="00DB7A03"/>
    <w:rsid w:val="00DC380E"/>
    <w:rsid w:val="00DC40A6"/>
    <w:rsid w:val="00DC51E1"/>
    <w:rsid w:val="00DC7A3D"/>
    <w:rsid w:val="00DD1693"/>
    <w:rsid w:val="00DD2E9B"/>
    <w:rsid w:val="00DD33BC"/>
    <w:rsid w:val="00DD6E74"/>
    <w:rsid w:val="00DE2B0A"/>
    <w:rsid w:val="00DF0ED1"/>
    <w:rsid w:val="00DF573C"/>
    <w:rsid w:val="00DF5ECE"/>
    <w:rsid w:val="00E01447"/>
    <w:rsid w:val="00E01992"/>
    <w:rsid w:val="00E03DF7"/>
    <w:rsid w:val="00E078C0"/>
    <w:rsid w:val="00E1015D"/>
    <w:rsid w:val="00E1066A"/>
    <w:rsid w:val="00E151B6"/>
    <w:rsid w:val="00E227DD"/>
    <w:rsid w:val="00E23535"/>
    <w:rsid w:val="00E260B3"/>
    <w:rsid w:val="00E30291"/>
    <w:rsid w:val="00E314A3"/>
    <w:rsid w:val="00E320EF"/>
    <w:rsid w:val="00E33E99"/>
    <w:rsid w:val="00E47A86"/>
    <w:rsid w:val="00E56ECF"/>
    <w:rsid w:val="00E60A48"/>
    <w:rsid w:val="00E61E24"/>
    <w:rsid w:val="00E628E7"/>
    <w:rsid w:val="00E72D9A"/>
    <w:rsid w:val="00E731F9"/>
    <w:rsid w:val="00E751FE"/>
    <w:rsid w:val="00E80784"/>
    <w:rsid w:val="00E836A6"/>
    <w:rsid w:val="00E8638F"/>
    <w:rsid w:val="00E91E96"/>
    <w:rsid w:val="00E929FD"/>
    <w:rsid w:val="00E9470F"/>
    <w:rsid w:val="00E95D6D"/>
    <w:rsid w:val="00E96D01"/>
    <w:rsid w:val="00EA3D2F"/>
    <w:rsid w:val="00EA42AA"/>
    <w:rsid w:val="00EA5377"/>
    <w:rsid w:val="00EB2344"/>
    <w:rsid w:val="00EB26DA"/>
    <w:rsid w:val="00EB3773"/>
    <w:rsid w:val="00EB4225"/>
    <w:rsid w:val="00EB520A"/>
    <w:rsid w:val="00EB62F2"/>
    <w:rsid w:val="00EC00D4"/>
    <w:rsid w:val="00EC1207"/>
    <w:rsid w:val="00ED2B23"/>
    <w:rsid w:val="00ED5BA4"/>
    <w:rsid w:val="00ED7D1D"/>
    <w:rsid w:val="00EE0135"/>
    <w:rsid w:val="00EE03A6"/>
    <w:rsid w:val="00EE0984"/>
    <w:rsid w:val="00EE19EF"/>
    <w:rsid w:val="00EE65AD"/>
    <w:rsid w:val="00EF30AD"/>
    <w:rsid w:val="00EF4421"/>
    <w:rsid w:val="00EF7C83"/>
    <w:rsid w:val="00F0595D"/>
    <w:rsid w:val="00F06234"/>
    <w:rsid w:val="00F0682C"/>
    <w:rsid w:val="00F106CF"/>
    <w:rsid w:val="00F1166F"/>
    <w:rsid w:val="00F13C1D"/>
    <w:rsid w:val="00F16AC7"/>
    <w:rsid w:val="00F17408"/>
    <w:rsid w:val="00F2190E"/>
    <w:rsid w:val="00F234A3"/>
    <w:rsid w:val="00F256C0"/>
    <w:rsid w:val="00F26D4F"/>
    <w:rsid w:val="00F2790B"/>
    <w:rsid w:val="00F31D5C"/>
    <w:rsid w:val="00F32C27"/>
    <w:rsid w:val="00F35B8E"/>
    <w:rsid w:val="00F36D35"/>
    <w:rsid w:val="00F36E14"/>
    <w:rsid w:val="00F40E58"/>
    <w:rsid w:val="00F4183D"/>
    <w:rsid w:val="00F41C7B"/>
    <w:rsid w:val="00F4727F"/>
    <w:rsid w:val="00F4781C"/>
    <w:rsid w:val="00F53CB6"/>
    <w:rsid w:val="00F55089"/>
    <w:rsid w:val="00F570A7"/>
    <w:rsid w:val="00F574B8"/>
    <w:rsid w:val="00F6308F"/>
    <w:rsid w:val="00F70987"/>
    <w:rsid w:val="00F714BA"/>
    <w:rsid w:val="00F727CF"/>
    <w:rsid w:val="00F7442D"/>
    <w:rsid w:val="00F74DDB"/>
    <w:rsid w:val="00F766FA"/>
    <w:rsid w:val="00F838E4"/>
    <w:rsid w:val="00F8546D"/>
    <w:rsid w:val="00F8611D"/>
    <w:rsid w:val="00F8619B"/>
    <w:rsid w:val="00F862F6"/>
    <w:rsid w:val="00FA12CD"/>
    <w:rsid w:val="00FA1FB4"/>
    <w:rsid w:val="00FA6BA3"/>
    <w:rsid w:val="00FB0369"/>
    <w:rsid w:val="00FB32FE"/>
    <w:rsid w:val="00FB3B00"/>
    <w:rsid w:val="00FB4BB1"/>
    <w:rsid w:val="00FB510B"/>
    <w:rsid w:val="00FB57E5"/>
    <w:rsid w:val="00FB7490"/>
    <w:rsid w:val="00FC2C4D"/>
    <w:rsid w:val="00FC5F3A"/>
    <w:rsid w:val="00FC6CB5"/>
    <w:rsid w:val="00FC71AC"/>
    <w:rsid w:val="00FC753A"/>
    <w:rsid w:val="00FD5197"/>
    <w:rsid w:val="00FD5D10"/>
    <w:rsid w:val="00FD764A"/>
    <w:rsid w:val="00FD7958"/>
    <w:rsid w:val="00FE6984"/>
    <w:rsid w:val="00FF420E"/>
    <w:rsid w:val="00FF4330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51D4DB1"/>
  <w15:docId w15:val="{61CC87F4-F134-47DD-83A5-31BBD81D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1C65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3DD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A1C65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652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6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7D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58B7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E49"/>
  </w:style>
  <w:style w:type="paragraph" w:styleId="Zpat">
    <w:name w:val="footer"/>
    <w:basedOn w:val="Normln"/>
    <w:link w:val="ZpatChar"/>
    <w:uiPriority w:val="99"/>
    <w:unhideWhenUsed/>
    <w:rsid w:val="0047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E49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3DD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E3DD9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A1C65"/>
    <w:rPr>
      <w:rFonts w:ascii="Arial" w:eastAsiaTheme="majorEastAsia" w:hAnsi="Arial" w:cstheme="majorBidi"/>
      <w:b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9E49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9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9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9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96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E3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20E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C6520"/>
    <w:rPr>
      <w:rFonts w:ascii="Arial" w:eastAsiaTheme="majorEastAsia" w:hAnsi="Arial" w:cstheme="majorBidi"/>
      <w:b/>
      <w:sz w:val="24"/>
      <w:szCs w:val="24"/>
    </w:rPr>
  </w:style>
  <w:style w:type="paragraph" w:customStyle="1" w:styleId="l7">
    <w:name w:val="l7"/>
    <w:basedOn w:val="Normln"/>
    <w:rsid w:val="00BB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8">
    <w:name w:val="l8"/>
    <w:basedOn w:val="Normln"/>
    <w:rsid w:val="00BB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l6">
    <w:name w:val="l6"/>
    <w:basedOn w:val="Normln"/>
    <w:rsid w:val="00BF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F0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3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oveschranky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k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cr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4FE0-F196-475D-93E5-EE25410B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4</Pages>
  <Words>1730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Baudišová</dc:creator>
  <cp:lastModifiedBy>Alblová</cp:lastModifiedBy>
  <cp:revision>20</cp:revision>
  <cp:lastPrinted>2022-09-30T11:00:00Z</cp:lastPrinted>
  <dcterms:created xsi:type="dcterms:W3CDTF">2022-11-10T13:45:00Z</dcterms:created>
  <dcterms:modified xsi:type="dcterms:W3CDTF">2023-01-03T09:03:00Z</dcterms:modified>
</cp:coreProperties>
</file>