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6AD1" w14:textId="6A4EEB92" w:rsidR="00234197" w:rsidRDefault="00AB037F" w:rsidP="00C01DC4">
      <w:pPr>
        <w:pStyle w:val="Nadpis1"/>
        <w:spacing w:after="240" w:line="276" w:lineRule="auto"/>
        <w:ind w:firstLine="708"/>
        <w:jc w:val="both"/>
        <w:rPr>
          <w:rStyle w:val="dn"/>
          <w:rFonts w:cs="Arial"/>
          <w:color w:val="auto"/>
        </w:rPr>
      </w:pPr>
      <w:bookmarkStart w:id="0" w:name="_Hlk208411386"/>
      <w:r w:rsidRPr="00AF2C6A">
        <w:rPr>
          <w:rStyle w:val="dn"/>
          <w:rFonts w:cs="Arial"/>
          <w:color w:val="auto"/>
        </w:rPr>
        <w:t xml:space="preserve">Informace ze Sociálně právní poradny </w:t>
      </w:r>
      <w:r w:rsidR="00B03B68">
        <w:rPr>
          <w:rStyle w:val="dn"/>
          <w:rFonts w:cs="Arial"/>
          <w:color w:val="auto"/>
        </w:rPr>
        <w:t>11</w:t>
      </w:r>
      <w:r w:rsidRPr="00AF2C6A">
        <w:rPr>
          <w:rStyle w:val="dn"/>
          <w:rFonts w:cs="Arial"/>
          <w:color w:val="auto"/>
        </w:rPr>
        <w:t>/202</w:t>
      </w:r>
      <w:r w:rsidR="00ED368E" w:rsidRPr="00AF2C6A">
        <w:rPr>
          <w:rStyle w:val="dn"/>
          <w:rFonts w:cs="Arial"/>
          <w:color w:val="auto"/>
        </w:rPr>
        <w:t>5</w:t>
      </w:r>
    </w:p>
    <w:p w14:paraId="7A8E4D1F" w14:textId="479B5B07" w:rsidR="00CE7EF3" w:rsidRDefault="00CE7EF3" w:rsidP="00CE7EF3">
      <w:pPr>
        <w:pStyle w:val="Nadpis2"/>
        <w:spacing w:before="0" w:after="240"/>
        <w:ind w:left="708"/>
        <w:jc w:val="both"/>
      </w:pPr>
      <w:r>
        <w:t xml:space="preserve"> </w:t>
      </w:r>
      <w:r w:rsidR="00742C69">
        <w:t xml:space="preserve">Prodej darované </w:t>
      </w:r>
      <w:r w:rsidR="00312C10">
        <w:t xml:space="preserve">a </w:t>
      </w:r>
      <w:r w:rsidR="00742C69">
        <w:t xml:space="preserve">zděděné nemovitosti </w:t>
      </w:r>
      <w:r w:rsidR="00312C10">
        <w:t>a daně</w:t>
      </w:r>
    </w:p>
    <w:p w14:paraId="42ABB3C6" w14:textId="50A80F55" w:rsidR="0041640E" w:rsidRDefault="001F4519" w:rsidP="00874E13">
      <w:pPr>
        <w:pStyle w:val="Prosttext"/>
        <w:spacing w:after="240"/>
        <w:ind w:left="708"/>
        <w:jc w:val="both"/>
      </w:pPr>
      <w:r>
        <w:t>P</w:t>
      </w:r>
      <w:r w:rsidR="00121D1B">
        <w:t>ředchozí</w:t>
      </w:r>
      <w:r w:rsidR="00361A84">
        <w:t xml:space="preserve"> </w:t>
      </w:r>
      <w:r w:rsidR="00121D1B">
        <w:t>Informac</w:t>
      </w:r>
      <w:r>
        <w:t xml:space="preserve">e </w:t>
      </w:r>
      <w:r w:rsidR="00FA5A65">
        <w:t xml:space="preserve">jsme </w:t>
      </w:r>
      <w:r w:rsidR="00121D1B">
        <w:t>věnoval</w:t>
      </w:r>
      <w:r w:rsidR="00FA5A65">
        <w:t>i</w:t>
      </w:r>
      <w:r>
        <w:t xml:space="preserve"> </w:t>
      </w:r>
      <w:r w:rsidR="00121D1B">
        <w:t>zdanění bezúplatn</w:t>
      </w:r>
      <w:r w:rsidR="00FA5A65">
        <w:t>ého</w:t>
      </w:r>
      <w:r w:rsidR="00121D1B">
        <w:t xml:space="preserve"> příjm</w:t>
      </w:r>
      <w:r w:rsidR="00FA5A65">
        <w:t>u</w:t>
      </w:r>
      <w:r w:rsidR="00121D1B">
        <w:t>, tedy příjm</w:t>
      </w:r>
      <w:r w:rsidR="00FA5A65">
        <w:t>u</w:t>
      </w:r>
      <w:r w:rsidR="00121D1B">
        <w:t xml:space="preserve"> získan</w:t>
      </w:r>
      <w:r w:rsidR="00FA5A65">
        <w:t xml:space="preserve">ého </w:t>
      </w:r>
      <w:r w:rsidR="00121D1B">
        <w:t xml:space="preserve">darem či dědictvím. S tím souvisí i následný prodej takto získaného majetku. </w:t>
      </w:r>
    </w:p>
    <w:p w14:paraId="61E08E81" w14:textId="5EE7B5E8" w:rsidR="001917DB" w:rsidRDefault="0087558C" w:rsidP="00D27CCC">
      <w:pPr>
        <w:pStyle w:val="Prosttext"/>
        <w:spacing w:after="240"/>
        <w:ind w:left="708"/>
        <w:jc w:val="both"/>
      </w:pPr>
      <w:r>
        <w:t>Zopa</w:t>
      </w:r>
      <w:r w:rsidR="00EB64B4">
        <w:t xml:space="preserve">kujme si, že </w:t>
      </w:r>
      <w:r w:rsidR="0041640E">
        <w:t xml:space="preserve">darovací a dědická daň, tedy daň za to, že obdarovaný či dědic majetkovou hodnotu vůbec nabude, byla </w:t>
      </w:r>
      <w:r w:rsidR="0043295F">
        <w:t>rokem</w:t>
      </w:r>
      <w:r w:rsidR="0041640E">
        <w:t xml:space="preserve"> 2014 zrušena. </w:t>
      </w:r>
      <w:r w:rsidR="00D27CCC">
        <w:t>V roce 2020 byla</w:t>
      </w:r>
      <w:r w:rsidR="005E5EC0">
        <w:t xml:space="preserve"> </w:t>
      </w:r>
      <w:r w:rsidR="00D27CCC">
        <w:t>zrušena i daň z nabytí nemovitosti</w:t>
      </w:r>
      <w:r w:rsidR="005E5EC0">
        <w:t xml:space="preserve"> placená kupujícím</w:t>
      </w:r>
      <w:r w:rsidR="00D27CCC">
        <w:t xml:space="preserve">. </w:t>
      </w:r>
      <w:r w:rsidR="00361A84">
        <w:t>Současná d</w:t>
      </w:r>
      <w:r w:rsidR="0041640E">
        <w:t xml:space="preserve">aň z příjmu </w:t>
      </w:r>
      <w:r w:rsidR="00DF1C4D">
        <w:t xml:space="preserve">fyzických </w:t>
      </w:r>
      <w:r w:rsidR="00F03176">
        <w:t xml:space="preserve">osob </w:t>
      </w:r>
      <w:r w:rsidR="00DF1C4D">
        <w:t xml:space="preserve">v sazbě </w:t>
      </w:r>
      <w:r w:rsidR="0041640E">
        <w:t>15 %</w:t>
      </w:r>
      <w:r w:rsidR="000F0DE4">
        <w:t xml:space="preserve"> (</w:t>
      </w:r>
      <w:r w:rsidR="0043295F">
        <w:t>případně 23 %</w:t>
      </w:r>
      <w:r w:rsidR="000F0DE4">
        <w:t xml:space="preserve">, pokud základ daně překročí </w:t>
      </w:r>
      <w:r w:rsidR="00312C10">
        <w:t xml:space="preserve">vyšší </w:t>
      </w:r>
      <w:r w:rsidR="000F0DE4">
        <w:t xml:space="preserve">zákonem danou hranici) </w:t>
      </w:r>
      <w:r w:rsidR="0041640E">
        <w:t xml:space="preserve">se </w:t>
      </w:r>
      <w:r w:rsidR="0041640E" w:rsidRPr="001917DB">
        <w:t xml:space="preserve">u darování </w:t>
      </w:r>
      <w:r w:rsidR="0041640E">
        <w:t xml:space="preserve">vztahuje </w:t>
      </w:r>
      <w:r w:rsidR="001917DB">
        <w:t xml:space="preserve">jen </w:t>
      </w:r>
      <w:r w:rsidR="000F0DE4">
        <w:t xml:space="preserve">na jiné </w:t>
      </w:r>
      <w:r w:rsidR="005E5EC0">
        <w:t>obdarované</w:t>
      </w:r>
      <w:r w:rsidR="00586C9A">
        <w:t xml:space="preserve">, </w:t>
      </w:r>
      <w:r w:rsidR="0041640E">
        <w:t xml:space="preserve">než </w:t>
      </w:r>
      <w:r w:rsidR="005E5EC0">
        <w:t xml:space="preserve">jsou </w:t>
      </w:r>
      <w:r w:rsidR="0041640E">
        <w:t>osoby blízké</w:t>
      </w:r>
      <w:r w:rsidR="00F03176">
        <w:t xml:space="preserve">. </w:t>
      </w:r>
      <w:r w:rsidR="00EB64B4">
        <w:t xml:space="preserve">Dědění je </w:t>
      </w:r>
      <w:r w:rsidR="007809B5" w:rsidRPr="0043295F">
        <w:t>osvobozen</w:t>
      </w:r>
      <w:r w:rsidR="00EB64B4">
        <w:t>o</w:t>
      </w:r>
      <w:r w:rsidR="007809B5" w:rsidRPr="0043295F">
        <w:t xml:space="preserve"> </w:t>
      </w:r>
      <w:r w:rsidR="0043295F" w:rsidRPr="0043295F">
        <w:t>od daně z příjmu</w:t>
      </w:r>
      <w:r w:rsidR="00B34909" w:rsidRPr="00B34909">
        <w:t xml:space="preserve"> </w:t>
      </w:r>
      <w:r w:rsidR="00B34909" w:rsidRPr="0043295F">
        <w:t>vždy</w:t>
      </w:r>
      <w:r w:rsidR="0043295F">
        <w:t xml:space="preserve">. </w:t>
      </w:r>
      <w:r w:rsidR="00361A84">
        <w:t>O</w:t>
      </w:r>
      <w:r w:rsidR="00361A84" w:rsidRPr="004555F2">
        <w:t>d daně z příjmů právnických osob</w:t>
      </w:r>
      <w:r w:rsidR="00361A84" w:rsidRPr="00361A84">
        <w:t xml:space="preserve"> </w:t>
      </w:r>
      <w:r w:rsidR="00361A84" w:rsidRPr="004555F2">
        <w:t xml:space="preserve">je </w:t>
      </w:r>
      <w:r w:rsidR="00B34909">
        <w:t xml:space="preserve">potom </w:t>
      </w:r>
      <w:r w:rsidR="00361A84" w:rsidRPr="004555F2">
        <w:t>osvobozen</w:t>
      </w:r>
      <w:r w:rsidR="00361A84">
        <w:t xml:space="preserve"> </w:t>
      </w:r>
      <w:r w:rsidR="00B34909">
        <w:t xml:space="preserve">například </w:t>
      </w:r>
      <w:r w:rsidR="00361A84">
        <w:t>b</w:t>
      </w:r>
      <w:r w:rsidR="004555F2" w:rsidRPr="004555F2">
        <w:t xml:space="preserve">ezúplatný příjem plynoucí do veřejné sbírky, přijatý z veřejné sbírky a </w:t>
      </w:r>
      <w:r w:rsidR="00361A84">
        <w:t xml:space="preserve">přijatý </w:t>
      </w:r>
      <w:r w:rsidR="004555F2" w:rsidRPr="004555F2">
        <w:t>na humanitární nebo charitativní účel</w:t>
      </w:r>
      <w:r w:rsidR="00361A84">
        <w:t>.</w:t>
      </w:r>
      <w:r w:rsidR="004555F2" w:rsidRPr="004555F2">
        <w:t xml:space="preserve"> </w:t>
      </w:r>
    </w:p>
    <w:p w14:paraId="2569BA99" w14:textId="1920D84C" w:rsidR="0091500F" w:rsidRDefault="0091500F" w:rsidP="00874E13">
      <w:pPr>
        <w:pStyle w:val="Prosttext"/>
        <w:spacing w:after="240"/>
        <w:ind w:left="708"/>
        <w:jc w:val="both"/>
      </w:pPr>
      <w:r>
        <w:t>P</w:t>
      </w:r>
      <w:r w:rsidR="00767CA6">
        <w:t xml:space="preserve">o </w:t>
      </w:r>
      <w:r w:rsidR="008E3AF9">
        <w:t xml:space="preserve">prodeji </w:t>
      </w:r>
      <w:r>
        <w:t>nemovitosti</w:t>
      </w:r>
      <w:r w:rsidR="008E3AF9">
        <w:t xml:space="preserve"> je </w:t>
      </w:r>
      <w:r w:rsidR="005E5EC0">
        <w:t xml:space="preserve">dnes </w:t>
      </w:r>
      <w:r w:rsidR="00312C10">
        <w:t xml:space="preserve">prodávající </w:t>
      </w:r>
      <w:r w:rsidR="005E5EC0">
        <w:t xml:space="preserve">obecně </w:t>
      </w:r>
      <w:r w:rsidR="00312C10">
        <w:t xml:space="preserve">povinen </w:t>
      </w:r>
      <w:r w:rsidR="00767CA6">
        <w:t>za</w:t>
      </w:r>
      <w:r w:rsidR="00FA6CF4">
        <w:t>platit daň z</w:t>
      </w:r>
      <w:r w:rsidR="008E3AF9">
        <w:t> </w:t>
      </w:r>
      <w:r w:rsidR="00FA6CF4">
        <w:t>příjmu</w:t>
      </w:r>
      <w:r w:rsidR="008E3AF9">
        <w:t>. Z</w:t>
      </w:r>
      <w:r w:rsidR="00F22BB9">
        <w:t>ákladem daně je z</w:t>
      </w:r>
      <w:r w:rsidR="00F22BB9" w:rsidRPr="00F22BB9">
        <w:t>isk z prodeje</w:t>
      </w:r>
      <w:r w:rsidR="003F1A75">
        <w:t xml:space="preserve">, tj. </w:t>
      </w:r>
      <w:r w:rsidR="006B612E">
        <w:t>prodejní cena minus pořizovací cena</w:t>
      </w:r>
      <w:r w:rsidR="00FB3C29">
        <w:t xml:space="preserve"> minus „režijní“ náklady</w:t>
      </w:r>
      <w:r w:rsidR="00312C10">
        <w:t xml:space="preserve"> související s prodejem</w:t>
      </w:r>
      <w:r w:rsidR="003F1A75">
        <w:t xml:space="preserve">. </w:t>
      </w:r>
      <w:r w:rsidR="00412992">
        <w:t>Prodávající je o</w:t>
      </w:r>
      <w:r w:rsidR="00FA6CF4">
        <w:t>d daně osvobozen</w:t>
      </w:r>
      <w:r w:rsidR="004F6F2B">
        <w:t xml:space="preserve"> v těchto případech: </w:t>
      </w:r>
      <w:r w:rsidR="00FA6CF4">
        <w:t xml:space="preserve">  </w:t>
      </w:r>
    </w:p>
    <w:p w14:paraId="54F54768" w14:textId="7AD7DCD5" w:rsidR="00FE2335" w:rsidRDefault="004F6F2B" w:rsidP="00FE2335">
      <w:pPr>
        <w:pStyle w:val="Prosttext"/>
        <w:numPr>
          <w:ilvl w:val="0"/>
          <w:numId w:val="20"/>
        </w:numPr>
        <w:jc w:val="both"/>
      </w:pPr>
      <w:r>
        <w:t xml:space="preserve">jde-li o </w:t>
      </w:r>
      <w:r w:rsidRPr="00FE2335">
        <w:t>prodej</w:t>
      </w:r>
      <w:r>
        <w:t xml:space="preserve"> </w:t>
      </w:r>
      <w:r w:rsidRPr="00FE2335">
        <w:t xml:space="preserve">rodinného domu nebo </w:t>
      </w:r>
      <w:r>
        <w:t xml:space="preserve">bytové </w:t>
      </w:r>
      <w:r w:rsidRPr="00FE2335">
        <w:t xml:space="preserve">jednotky, </w:t>
      </w:r>
      <w:r>
        <w:t xml:space="preserve">prodávající </w:t>
      </w:r>
      <w:r w:rsidR="00FE2335">
        <w:t xml:space="preserve">v prodané nemovitosti </w:t>
      </w:r>
      <w:r w:rsidR="00767CA6">
        <w:t xml:space="preserve">musí </w:t>
      </w:r>
      <w:r w:rsidR="00FE2335">
        <w:t>bydl</w:t>
      </w:r>
      <w:r>
        <w:t>e</w:t>
      </w:r>
      <w:r w:rsidR="00767CA6">
        <w:t xml:space="preserve">t </w:t>
      </w:r>
      <w:r w:rsidR="00FE2335">
        <w:t xml:space="preserve">bezprostředně </w:t>
      </w:r>
      <w:r w:rsidR="00FE2335" w:rsidRPr="00874E13">
        <w:t xml:space="preserve">před prodejem </w:t>
      </w:r>
      <w:r w:rsidR="00FE2335">
        <w:t xml:space="preserve">nejméně </w:t>
      </w:r>
      <w:r w:rsidR="00FE2335" w:rsidRPr="0087558C">
        <w:t>2</w:t>
      </w:r>
      <w:r w:rsidR="00FE2335" w:rsidRPr="00874E13">
        <w:t xml:space="preserve"> </w:t>
      </w:r>
      <w:r w:rsidR="00FE2335">
        <w:t>roky</w:t>
      </w:r>
      <w:r>
        <w:sym w:font="Symbol" w:char="F03B"/>
      </w:r>
      <w:r>
        <w:t xml:space="preserve"> </w:t>
      </w:r>
      <w:r w:rsidR="00FE2335">
        <w:t xml:space="preserve">tato lhůta se </w:t>
      </w:r>
      <w:r w:rsidR="00767CA6">
        <w:t xml:space="preserve">však </w:t>
      </w:r>
      <w:r w:rsidR="00FE2335">
        <w:t>nevyžaduje, jestliže výnos z prodeje</w:t>
      </w:r>
      <w:r w:rsidR="00FE2335" w:rsidRPr="009E63F2">
        <w:t xml:space="preserve"> </w:t>
      </w:r>
      <w:r w:rsidR="00767CA6" w:rsidRPr="009E63F2">
        <w:t>použi</w:t>
      </w:r>
      <w:r w:rsidR="00767CA6">
        <w:t>l</w:t>
      </w:r>
      <w:r w:rsidR="00767CA6" w:rsidRPr="009E63F2">
        <w:t xml:space="preserve"> </w:t>
      </w:r>
      <w:r w:rsidR="00FE2335" w:rsidRPr="009E63F2">
        <w:t>na obstarání vlastní bytové potřeby</w:t>
      </w:r>
      <w:r w:rsidR="00FE2335" w:rsidRPr="0087558C">
        <w:t xml:space="preserve"> </w:t>
      </w:r>
      <w:r w:rsidR="00FE2335">
        <w:t>(koupi, výstavbu, rekonstrukci jiné nemovitosti)</w:t>
      </w:r>
    </w:p>
    <w:p w14:paraId="54278E15" w14:textId="42D524DA" w:rsidR="00FE2335" w:rsidRPr="00FE2335" w:rsidRDefault="009F2874" w:rsidP="004F6F2B">
      <w:pPr>
        <w:pStyle w:val="Prosttext"/>
        <w:numPr>
          <w:ilvl w:val="0"/>
          <w:numId w:val="20"/>
        </w:numPr>
        <w:spacing w:before="240" w:after="240"/>
        <w:jc w:val="both"/>
      </w:pPr>
      <w:bookmarkStart w:id="1" w:name="_Hlk210985852"/>
      <w:r>
        <w:t xml:space="preserve">ve </w:t>
      </w:r>
      <w:r w:rsidRPr="00721DBD">
        <w:t>všech</w:t>
      </w:r>
      <w:r>
        <w:t xml:space="preserve"> </w:t>
      </w:r>
      <w:r w:rsidR="00A329A7">
        <w:t>případech</w:t>
      </w:r>
      <w:r w:rsidR="00767CA6">
        <w:t xml:space="preserve">, pokud prodávající </w:t>
      </w:r>
      <w:r w:rsidR="00FE2335" w:rsidRPr="00FE2335">
        <w:t xml:space="preserve">prodanou nemovitost </w:t>
      </w:r>
      <w:r w:rsidR="00767CA6" w:rsidRPr="00FE2335">
        <w:t xml:space="preserve">nabyl </w:t>
      </w:r>
      <w:r w:rsidR="00FE2335" w:rsidRPr="00FE2335">
        <w:t>do 31. 12. 2020 a vlastnil ji nejméně 5 let</w:t>
      </w:r>
      <w:bookmarkEnd w:id="1"/>
      <w:r w:rsidR="00767CA6">
        <w:t xml:space="preserve">, </w:t>
      </w:r>
      <w:r w:rsidR="00FE2335" w:rsidRPr="00FE2335">
        <w:t xml:space="preserve">nebo </w:t>
      </w:r>
      <w:r w:rsidR="00767CA6">
        <w:t xml:space="preserve">ji nabyl </w:t>
      </w:r>
      <w:r w:rsidR="00FE2335" w:rsidRPr="00FE2335">
        <w:t xml:space="preserve">od 1. 1. 2021 a vlastnil ji nejméně 10 let, přičemž: </w:t>
      </w:r>
    </w:p>
    <w:p w14:paraId="0C828D14" w14:textId="38B8B9A7" w:rsidR="00FE2335" w:rsidRPr="00FE2335" w:rsidRDefault="00FE2335" w:rsidP="00FE233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theme="minorBidi"/>
          <w:color w:val="auto"/>
          <w:szCs w:val="21"/>
          <w:bdr w:val="none" w:sz="0" w:space="0" w:color="auto"/>
          <w:lang w:eastAsia="en-US"/>
        </w:rPr>
      </w:pPr>
      <w:r w:rsidRPr="00FE2335">
        <w:rPr>
          <w:rFonts w:ascii="Arial" w:eastAsia="Times New Roman" w:hAnsi="Arial" w:cstheme="minorBidi"/>
          <w:color w:val="auto"/>
          <w:szCs w:val="21"/>
          <w:bdr w:val="none" w:sz="0" w:space="0" w:color="auto"/>
          <w:lang w:eastAsia="en-US"/>
        </w:rPr>
        <w:t>u nemovitosti zděděné po příbuzném v řadě přímé nebo po manželovi</w:t>
      </w:r>
      <w:r w:rsidR="00767CA6">
        <w:rPr>
          <w:rFonts w:ascii="Arial" w:eastAsia="Times New Roman" w:hAnsi="Arial" w:cstheme="minorBidi"/>
          <w:color w:val="auto"/>
          <w:szCs w:val="21"/>
          <w:bdr w:val="none" w:sz="0" w:space="0" w:color="auto"/>
          <w:lang w:eastAsia="en-US"/>
        </w:rPr>
        <w:t xml:space="preserve">/manželce </w:t>
      </w:r>
      <w:r w:rsidRPr="00FE2335">
        <w:rPr>
          <w:rFonts w:ascii="Arial" w:eastAsia="Times New Roman" w:hAnsi="Arial" w:cstheme="minorBidi"/>
          <w:color w:val="auto"/>
          <w:szCs w:val="21"/>
          <w:bdr w:val="none" w:sz="0" w:space="0" w:color="auto"/>
          <w:lang w:eastAsia="en-US"/>
        </w:rPr>
        <w:t xml:space="preserve">se doba vlastnictví zemřelého zůstavitele do těchto lhůt započítává </w:t>
      </w:r>
    </w:p>
    <w:p w14:paraId="70290E9E" w14:textId="09677AE4" w:rsidR="00FE2335" w:rsidRPr="00FE2335" w:rsidRDefault="00FE2335" w:rsidP="00FE233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theme="minorBidi"/>
          <w:color w:val="auto"/>
          <w:szCs w:val="21"/>
          <w:bdr w:val="none" w:sz="0" w:space="0" w:color="auto"/>
          <w:lang w:eastAsia="en-US"/>
        </w:rPr>
      </w:pPr>
      <w:r w:rsidRPr="00FE2335">
        <w:rPr>
          <w:rFonts w:ascii="Arial" w:eastAsia="Times New Roman" w:hAnsi="Arial" w:cstheme="minorBidi"/>
          <w:color w:val="auto"/>
          <w:szCs w:val="21"/>
          <w:bdr w:val="none" w:sz="0" w:space="0" w:color="auto"/>
          <w:lang w:eastAsia="en-US"/>
        </w:rPr>
        <w:t>u darované nemovitosti se doba vlastnictví dárce do těchto lhůt nezapočítává</w:t>
      </w:r>
      <w:r w:rsidR="00767CA6">
        <w:rPr>
          <w:rFonts w:ascii="Arial" w:eastAsia="Times New Roman" w:hAnsi="Arial" w:cstheme="minorBidi"/>
          <w:color w:val="auto"/>
          <w:szCs w:val="21"/>
          <w:bdr w:val="none" w:sz="0" w:space="0" w:color="auto"/>
          <w:lang w:eastAsia="en-US"/>
        </w:rPr>
        <w:t>.</w:t>
      </w:r>
    </w:p>
    <w:p w14:paraId="120AA2F8" w14:textId="6A5DA3B1" w:rsidR="0091500F" w:rsidRPr="0087558C" w:rsidRDefault="008E3AF9" w:rsidP="00FE2335">
      <w:pPr>
        <w:pStyle w:val="Prosttext"/>
        <w:spacing w:before="240" w:after="240"/>
        <w:ind w:left="708"/>
        <w:jc w:val="both"/>
      </w:pPr>
      <w:r w:rsidRPr="0087558C">
        <w:t>Hlavní</w:t>
      </w:r>
      <w:r w:rsidR="00640DE5" w:rsidRPr="0087558C">
        <w:t xml:space="preserve"> rozdíl je </w:t>
      </w:r>
      <w:r w:rsidR="00CD4687" w:rsidRPr="0087558C">
        <w:t xml:space="preserve">tedy </w:t>
      </w:r>
      <w:r w:rsidR="00640DE5" w:rsidRPr="0087558C">
        <w:t>v tom, že u</w:t>
      </w:r>
      <w:r w:rsidR="0091500F" w:rsidRPr="0087558C">
        <w:t xml:space="preserve"> </w:t>
      </w:r>
      <w:r w:rsidR="00F01C6E" w:rsidRPr="0087558C">
        <w:t xml:space="preserve">darování se </w:t>
      </w:r>
      <w:r w:rsidR="00640DE5" w:rsidRPr="0087558C">
        <w:t xml:space="preserve">do předepsané doby </w:t>
      </w:r>
      <w:r w:rsidR="00F01C6E" w:rsidRPr="0087558C">
        <w:t>ne</w:t>
      </w:r>
      <w:r w:rsidR="0091500F" w:rsidRPr="0087558C">
        <w:t xml:space="preserve">započítává i doba, </w:t>
      </w:r>
      <w:r w:rsidR="00361A84" w:rsidRPr="0087558C">
        <w:t>po kterou</w:t>
      </w:r>
      <w:r w:rsidR="0091500F" w:rsidRPr="0087558C">
        <w:t xml:space="preserve"> nemovitost vlastnil </w:t>
      </w:r>
      <w:r w:rsidR="00F01C6E" w:rsidRPr="0087558C">
        <w:t xml:space="preserve">právní předchůdce </w:t>
      </w:r>
      <w:r w:rsidR="00361A84" w:rsidRPr="0087558C">
        <w:t>prodávajícího</w:t>
      </w:r>
      <w:r w:rsidR="00EE5833" w:rsidRPr="0087558C">
        <w:t xml:space="preserve">, zatímco </w:t>
      </w:r>
      <w:r w:rsidR="0091500F" w:rsidRPr="0087558C">
        <w:t xml:space="preserve">u </w:t>
      </w:r>
      <w:r w:rsidR="00F01C6E" w:rsidRPr="0087558C">
        <w:t>dě</w:t>
      </w:r>
      <w:r w:rsidR="00D020EB">
        <w:t>dění</w:t>
      </w:r>
      <w:r w:rsidR="00F01C6E" w:rsidRPr="0087558C">
        <w:t xml:space="preserve"> ano</w:t>
      </w:r>
      <w:r w:rsidR="0091500F" w:rsidRPr="0087558C">
        <w:t xml:space="preserve">. </w:t>
      </w:r>
    </w:p>
    <w:p w14:paraId="66A4FA5A" w14:textId="0A5FA5ED" w:rsidR="00ED4B77" w:rsidRDefault="001C5BC4" w:rsidP="00ED4B77">
      <w:pPr>
        <w:pStyle w:val="Prosttext"/>
        <w:spacing w:after="240"/>
        <w:ind w:left="708"/>
        <w:jc w:val="both"/>
      </w:pPr>
      <w:r>
        <w:t xml:space="preserve">Jde-li o </w:t>
      </w:r>
      <w:r w:rsidR="003A06B9">
        <w:t>prodej družstevního bytu</w:t>
      </w:r>
      <w:r w:rsidR="00740865">
        <w:t xml:space="preserve">, </w:t>
      </w:r>
      <w:r>
        <w:t>jeho hodnota je vyjádřena členským podílem v družstvu spojeným s nájmem konkrétního bytu. D</w:t>
      </w:r>
      <w:r w:rsidR="00BF58E3" w:rsidRPr="00BF58E3">
        <w:t xml:space="preserve">ružstevní byt </w:t>
      </w:r>
      <w:r>
        <w:t xml:space="preserve">totiž </w:t>
      </w:r>
      <w:r w:rsidR="00BF58E3">
        <w:t xml:space="preserve">není jako samostatná </w:t>
      </w:r>
      <w:r w:rsidR="00BF58E3" w:rsidRPr="00BF58E3">
        <w:t xml:space="preserve">nemovitost </w:t>
      </w:r>
      <w:r w:rsidR="00BF58E3">
        <w:t>zaps</w:t>
      </w:r>
      <w:r w:rsidR="00D41D6F">
        <w:t>án</w:t>
      </w:r>
      <w:r w:rsidR="00BF58E3">
        <w:t xml:space="preserve"> v katastru nemovitostí, kde je</w:t>
      </w:r>
      <w:r w:rsidR="00312C10">
        <w:t xml:space="preserve"> </w:t>
      </w:r>
      <w:r w:rsidR="00BF58E3">
        <w:t>zapsána celá budova</w:t>
      </w:r>
      <w:r w:rsidR="003A06B9">
        <w:t xml:space="preserve">. </w:t>
      </w:r>
      <w:r w:rsidR="00BF58E3">
        <w:t>P</w:t>
      </w:r>
      <w:r w:rsidR="00BF58E3" w:rsidRPr="00BF58E3">
        <w:t>říjem z</w:t>
      </w:r>
      <w:r w:rsidR="00BF58E3">
        <w:t xml:space="preserve"> úplatného převodu členských práv a povinností je osvobozen </w:t>
      </w:r>
      <w:r w:rsidR="00D41D6F">
        <w:t xml:space="preserve">od daně z příjmu, </w:t>
      </w:r>
      <w:r w:rsidR="00BF58E3" w:rsidRPr="00BF58E3">
        <w:t xml:space="preserve">pokud uplynulo </w:t>
      </w:r>
      <w:r w:rsidR="00EB64B4">
        <w:t>nejméně</w:t>
      </w:r>
      <w:r w:rsidR="00BF58E3" w:rsidRPr="00BF58E3">
        <w:t xml:space="preserve"> 5 let od nabytí podílu </w:t>
      </w:r>
      <w:r w:rsidR="00740865">
        <w:t>(</w:t>
      </w:r>
      <w:r w:rsidR="00EB64B4">
        <w:t>při</w:t>
      </w:r>
      <w:r w:rsidR="004F6F2B">
        <w:t xml:space="preserve"> </w:t>
      </w:r>
      <w:r w:rsidR="001160F7">
        <w:t xml:space="preserve">nabytí </w:t>
      </w:r>
      <w:r w:rsidR="00EB64B4">
        <w:t>dědění</w:t>
      </w:r>
      <w:r w:rsidR="001160F7">
        <w:t>m</w:t>
      </w:r>
      <w:r w:rsidR="004F6F2B">
        <w:t xml:space="preserve"> </w:t>
      </w:r>
      <w:r w:rsidR="00EB64B4">
        <w:t xml:space="preserve">se </w:t>
      </w:r>
      <w:r w:rsidR="00740865">
        <w:t xml:space="preserve">opět </w:t>
      </w:r>
      <w:r w:rsidR="00740865" w:rsidRPr="00740865">
        <w:t xml:space="preserve">započítává doba </w:t>
      </w:r>
      <w:r w:rsidR="00740865">
        <w:t xml:space="preserve">právního předchůdce) </w:t>
      </w:r>
      <w:r w:rsidR="00BF58E3" w:rsidRPr="00EB64B4">
        <w:t xml:space="preserve">a </w:t>
      </w:r>
      <w:r w:rsidR="00D41D6F" w:rsidRPr="00EB64B4">
        <w:t>současně</w:t>
      </w:r>
      <w:r w:rsidR="00D41D6F">
        <w:t xml:space="preserve"> </w:t>
      </w:r>
      <w:r w:rsidR="00EB64B4">
        <w:t xml:space="preserve">převodce </w:t>
      </w:r>
      <w:r w:rsidR="00BF58E3" w:rsidRPr="00BF58E3">
        <w:t xml:space="preserve">v bytě </w:t>
      </w:r>
      <w:r w:rsidR="00E41042">
        <w:t>bydlel</w:t>
      </w:r>
      <w:r w:rsidR="00BF58E3" w:rsidRPr="00BF58E3">
        <w:t xml:space="preserve"> </w:t>
      </w:r>
      <w:r w:rsidR="00EB64B4">
        <w:t xml:space="preserve">bezprostředně </w:t>
      </w:r>
      <w:r w:rsidR="00EB64B4" w:rsidRPr="00BF58E3">
        <w:t xml:space="preserve">před převodem </w:t>
      </w:r>
      <w:r w:rsidR="00EB64B4">
        <w:t xml:space="preserve">nejméně </w:t>
      </w:r>
      <w:r w:rsidR="00BF58E3" w:rsidRPr="00BF58E3">
        <w:t xml:space="preserve">2 </w:t>
      </w:r>
      <w:r w:rsidR="00EB64B4">
        <w:t>roky</w:t>
      </w:r>
      <w:r w:rsidR="00BF58E3" w:rsidRPr="00BF58E3">
        <w:t>.</w:t>
      </w:r>
      <w:r w:rsidR="00D41D6F">
        <w:t xml:space="preserve"> Jinak se </w:t>
      </w:r>
      <w:r w:rsidR="008E3AF9">
        <w:t xml:space="preserve">zisk z prodeje </w:t>
      </w:r>
      <w:r w:rsidR="00D41D6F">
        <w:t xml:space="preserve">daní stejně </w:t>
      </w:r>
      <w:r w:rsidR="00BF58E3" w:rsidRPr="00BF58E3">
        <w:t xml:space="preserve">jako u </w:t>
      </w:r>
      <w:r w:rsidR="008E3AF9">
        <w:t xml:space="preserve">prodeje </w:t>
      </w:r>
      <w:r w:rsidR="00C52543">
        <w:t xml:space="preserve">nemovitosti.  </w:t>
      </w:r>
    </w:p>
    <w:p w14:paraId="7ED9A736" w14:textId="382A35BB" w:rsidR="001D09DC" w:rsidRDefault="008B7796" w:rsidP="00ED4B77">
      <w:pPr>
        <w:pStyle w:val="Prosttext"/>
        <w:spacing w:after="240"/>
        <w:ind w:left="708"/>
        <w:jc w:val="both"/>
      </w:pPr>
      <w:r>
        <w:t>Při úvaze o převodech v</w:t>
      </w:r>
      <w:r w:rsidR="00412992">
        <w:t> </w:t>
      </w:r>
      <w:r>
        <w:t>rodině</w:t>
      </w:r>
      <w:r w:rsidR="00412992">
        <w:t xml:space="preserve"> </w:t>
      </w:r>
      <w:r>
        <w:t xml:space="preserve">se </w:t>
      </w:r>
      <w:r w:rsidR="00CD4687">
        <w:t>proto</w:t>
      </w:r>
      <w:r>
        <w:t xml:space="preserve"> musí vzít v úvahu i shora uvedená pravidla</w:t>
      </w:r>
      <w:r w:rsidR="00EB64B4">
        <w:t xml:space="preserve">, která </w:t>
      </w:r>
      <w:r w:rsidR="009F62BA">
        <w:t xml:space="preserve">se </w:t>
      </w:r>
      <w:r w:rsidR="00EB64B4">
        <w:t xml:space="preserve">sice </w:t>
      </w:r>
      <w:r w:rsidR="009F62BA">
        <w:t xml:space="preserve">mohou zdát jako zbytečně </w:t>
      </w:r>
      <w:r w:rsidR="000111DA">
        <w:t>složitá</w:t>
      </w:r>
      <w:r w:rsidR="00EB64B4">
        <w:t xml:space="preserve">, ale </w:t>
      </w:r>
      <w:r w:rsidR="009F62BA">
        <w:t xml:space="preserve">jsou zde kvůli tomu, aby byly zdaněny investiční, komerční a spekulativní </w:t>
      </w:r>
      <w:r w:rsidR="00EB64B4">
        <w:t>převod</w:t>
      </w:r>
      <w:r w:rsidR="009F62BA">
        <w:t>y.</w:t>
      </w:r>
      <w:r w:rsidR="00EB64B4">
        <w:t xml:space="preserve"> </w:t>
      </w:r>
    </w:p>
    <w:p w14:paraId="6645BE3C" w14:textId="317A3256" w:rsidR="003D30AE" w:rsidRDefault="003D30AE" w:rsidP="00ED4B77">
      <w:pPr>
        <w:pStyle w:val="Prosttext"/>
        <w:spacing w:after="240"/>
        <w:ind w:left="708"/>
        <w:jc w:val="both"/>
      </w:pPr>
      <w:r>
        <w:t>I když je prodávající od daně osvobozen, p</w:t>
      </w:r>
      <w:r w:rsidRPr="003D30AE">
        <w:t xml:space="preserve">říjem z prodeje nemovitosti </w:t>
      </w:r>
      <w:r>
        <w:t xml:space="preserve">je třeba </w:t>
      </w:r>
      <w:r w:rsidR="00D229AF">
        <w:t xml:space="preserve">vždy </w:t>
      </w:r>
      <w:r w:rsidR="00F87DE5">
        <w:t xml:space="preserve">oznámit </w:t>
      </w:r>
      <w:r>
        <w:t xml:space="preserve">finančnímu úřadu </w:t>
      </w:r>
      <w:r w:rsidRPr="003D30AE">
        <w:t xml:space="preserve">a současně </w:t>
      </w:r>
      <w:r w:rsidR="000111DA">
        <w:t xml:space="preserve">mu </w:t>
      </w:r>
      <w:r w:rsidRPr="003D30AE">
        <w:t>doložit splnění podmín</w:t>
      </w:r>
      <w:r>
        <w:t>ky</w:t>
      </w:r>
      <w:r w:rsidRPr="003D30AE">
        <w:t xml:space="preserve"> pro osvobození od daně. U družstevního bytu </w:t>
      </w:r>
      <w:r>
        <w:t xml:space="preserve">má převodce </w:t>
      </w:r>
      <w:r w:rsidRPr="003D30AE">
        <w:t>oznamovací povinnost</w:t>
      </w:r>
      <w:r>
        <w:t xml:space="preserve"> jen, </w:t>
      </w:r>
      <w:r w:rsidRPr="003D30AE">
        <w:t>pokud příjem přesáhne 5 mil</w:t>
      </w:r>
      <w:r>
        <w:t xml:space="preserve">ionů </w:t>
      </w:r>
      <w:r w:rsidRPr="003D30AE">
        <w:t>Kč.</w:t>
      </w:r>
    </w:p>
    <w:p w14:paraId="17649E61" w14:textId="32F7273B" w:rsidR="00A5701E" w:rsidRDefault="00A5701E" w:rsidP="00ED4B77">
      <w:pPr>
        <w:pStyle w:val="Prosttext"/>
        <w:spacing w:after="240"/>
        <w:ind w:left="708"/>
        <w:jc w:val="both"/>
      </w:pPr>
      <w:r w:rsidRPr="00A5701E">
        <w:lastRenderedPageBreak/>
        <w:t>Od daně z příjmu je nutné odlišit daň z nemovitosti každoročně placenou vlastníkem nemovitosti.</w:t>
      </w:r>
    </w:p>
    <w:p w14:paraId="4863B74C" w14:textId="1C4ED2A5" w:rsidR="001D09DC" w:rsidRDefault="005C1EB4" w:rsidP="00C52543">
      <w:pPr>
        <w:pStyle w:val="Prosttext"/>
        <w:spacing w:after="240"/>
        <w:ind w:left="708"/>
        <w:jc w:val="both"/>
      </w:pPr>
      <w:r>
        <w:t>Nezbytn</w:t>
      </w:r>
      <w:r w:rsidR="001D09DC">
        <w:t>é</w:t>
      </w:r>
      <w:r>
        <w:t xml:space="preserve"> administrativní náklad</w:t>
      </w:r>
      <w:r w:rsidR="001D09DC">
        <w:t>y</w:t>
      </w:r>
      <w:r w:rsidR="00CB1FB9">
        <w:t xml:space="preserve"> </w:t>
      </w:r>
      <w:r w:rsidR="001D09DC">
        <w:t>jsou:</w:t>
      </w:r>
    </w:p>
    <w:p w14:paraId="59005447" w14:textId="462A446D" w:rsidR="001D09DC" w:rsidRDefault="00CE4212" w:rsidP="003D30AE">
      <w:pPr>
        <w:pStyle w:val="Prosttext"/>
        <w:numPr>
          <w:ilvl w:val="0"/>
          <w:numId w:val="21"/>
        </w:numPr>
        <w:jc w:val="both"/>
      </w:pPr>
      <w:r>
        <w:t>při</w:t>
      </w:r>
      <w:r w:rsidR="005C1EB4">
        <w:t xml:space="preserve"> </w:t>
      </w:r>
      <w:r w:rsidR="00CB1FB9">
        <w:t>jakémkoliv smluvním převodu vlastnictví k nemovitosti</w:t>
      </w:r>
      <w:r w:rsidR="00113919">
        <w:t xml:space="preserve"> </w:t>
      </w:r>
      <w:r w:rsidR="001D09DC">
        <w:t xml:space="preserve">včetně darování </w:t>
      </w:r>
      <w:r>
        <w:t xml:space="preserve">správní poplatek </w:t>
      </w:r>
      <w:r w:rsidR="001160F7">
        <w:t xml:space="preserve">2 000 Kč </w:t>
      </w:r>
      <w:r>
        <w:t xml:space="preserve">za </w:t>
      </w:r>
      <w:r w:rsidR="001160F7">
        <w:t xml:space="preserve">návrh na </w:t>
      </w:r>
      <w:r>
        <w:t>vklad do katastru nemovitostí</w:t>
      </w:r>
      <w:r w:rsidR="00113919">
        <w:t xml:space="preserve"> </w:t>
      </w:r>
    </w:p>
    <w:p w14:paraId="0797D313" w14:textId="1DF882CC" w:rsidR="008B7796" w:rsidRPr="00BF462D" w:rsidRDefault="00CE4212" w:rsidP="00AF6DCB">
      <w:pPr>
        <w:pStyle w:val="Prosttext"/>
        <w:numPr>
          <w:ilvl w:val="0"/>
          <w:numId w:val="21"/>
        </w:numPr>
        <w:jc w:val="both"/>
      </w:pPr>
      <w:r>
        <w:t>při dědění odměn</w:t>
      </w:r>
      <w:r w:rsidR="00CB1FB9">
        <w:t>a</w:t>
      </w:r>
      <w:r>
        <w:t xml:space="preserve"> notář</w:t>
      </w:r>
      <w:r w:rsidR="001D09DC">
        <w:t>e</w:t>
      </w:r>
      <w:r>
        <w:t xml:space="preserve">, která </w:t>
      </w:r>
      <w:r w:rsidR="00CB1FB9">
        <w:t xml:space="preserve">se řídí vyhláškou a </w:t>
      </w:r>
      <w:r>
        <w:t xml:space="preserve">počítá </w:t>
      </w:r>
      <w:r w:rsidR="00CB1FB9">
        <w:t xml:space="preserve">se </w:t>
      </w:r>
      <w:r>
        <w:t>z čisté hodnoty dědictví, tj. z</w:t>
      </w:r>
      <w:r w:rsidR="001B78F2">
        <w:t xml:space="preserve"> hodnoty </w:t>
      </w:r>
      <w:r>
        <w:t>dědictví po odpočtu dluhů, které dědic</w:t>
      </w:r>
      <w:r w:rsidR="002852DE">
        <w:t>i</w:t>
      </w:r>
      <w:r>
        <w:t xml:space="preserve"> musí uhradit. </w:t>
      </w:r>
      <w:r w:rsidRPr="00BF462D">
        <w:t>Kalkulačka je např</w:t>
      </w:r>
      <w:r w:rsidR="001D09DC">
        <w:t xml:space="preserve">. </w:t>
      </w:r>
      <w:r w:rsidRPr="00BF462D">
        <w:t xml:space="preserve">zde: </w:t>
      </w:r>
    </w:p>
    <w:p w14:paraId="0F782F55" w14:textId="0F09A35E" w:rsidR="00D95323" w:rsidRPr="00AF6DCB" w:rsidRDefault="00721DBD" w:rsidP="00AF6DCB">
      <w:pPr>
        <w:pStyle w:val="Prosttext"/>
        <w:spacing w:after="240" w:line="276" w:lineRule="auto"/>
        <w:ind w:left="708" w:firstLine="360"/>
        <w:jc w:val="both"/>
        <w:rPr>
          <w:rStyle w:val="Hypertextovodkaz"/>
          <w:sz w:val="22"/>
          <w:szCs w:val="22"/>
        </w:rPr>
      </w:pPr>
      <w:hyperlink r:id="rId8" w:anchor="kalkulacka-notarskych-poplatku" w:history="1">
        <w:r w:rsidR="00AF6DCB" w:rsidRPr="00BE50DC">
          <w:rPr>
            <w:rStyle w:val="Hypertextovodkaz"/>
            <w:sz w:val="22"/>
            <w:szCs w:val="22"/>
          </w:rPr>
          <w:t>https://www.remaxalfa.cz/odmena-notare-pri-dedickem-rizeni/#kalkulacka-notarskych-poplatku</w:t>
        </w:r>
      </w:hyperlink>
    </w:p>
    <w:p w14:paraId="7300074E" w14:textId="322D128A" w:rsidR="000C4877" w:rsidRDefault="005F08EE" w:rsidP="00101097">
      <w:pPr>
        <w:pStyle w:val="Nadpis2"/>
        <w:spacing w:after="240"/>
        <w:ind w:left="708"/>
        <w:jc w:val="both"/>
      </w:pPr>
      <w:bookmarkStart w:id="2" w:name="_Hlk208423789"/>
      <w:bookmarkEnd w:id="0"/>
      <w:r>
        <w:t xml:space="preserve"> </w:t>
      </w:r>
      <w:r w:rsidR="00B301D5">
        <w:t>Minimální důchod od roku 2026 nově</w:t>
      </w:r>
    </w:p>
    <w:p w14:paraId="5B20434D" w14:textId="1889A728" w:rsidR="00A329A7" w:rsidRPr="00A329A7" w:rsidRDefault="00D01B48" w:rsidP="00A329A7">
      <w:pPr>
        <w:ind w:left="708"/>
        <w:jc w:val="both"/>
        <w:rPr>
          <w:rFonts w:ascii="Arial" w:hAnsi="Arial" w:cs="Arial"/>
        </w:rPr>
      </w:pPr>
      <w:r>
        <w:rPr>
          <w:rFonts w:ascii="Arial" w:hAnsi="Arial" w:cs="Arial"/>
        </w:rPr>
        <w:t>D</w:t>
      </w:r>
      <w:r w:rsidRPr="00A329A7">
        <w:rPr>
          <w:rFonts w:ascii="Arial" w:hAnsi="Arial" w:cs="Arial"/>
        </w:rPr>
        <w:t xml:space="preserve">o konce roku 2025 </w:t>
      </w:r>
      <w:r>
        <w:rPr>
          <w:rFonts w:ascii="Arial" w:hAnsi="Arial" w:cs="Arial"/>
        </w:rPr>
        <w:t>je m</w:t>
      </w:r>
      <w:r w:rsidR="00A329A7" w:rsidRPr="00A329A7">
        <w:rPr>
          <w:rFonts w:ascii="Arial" w:hAnsi="Arial" w:cs="Arial"/>
        </w:rPr>
        <w:t xml:space="preserve">inimální </w:t>
      </w:r>
      <w:r w:rsidR="00180CDB" w:rsidRPr="00F45E93">
        <w:rPr>
          <w:rFonts w:ascii="Arial" w:hAnsi="Arial" w:cs="Arial"/>
        </w:rPr>
        <w:t xml:space="preserve">starobní </w:t>
      </w:r>
      <w:r w:rsidR="00A329A7" w:rsidRPr="008344DD">
        <w:rPr>
          <w:rFonts w:ascii="Arial" w:hAnsi="Arial" w:cs="Arial"/>
        </w:rPr>
        <w:t>důchod</w:t>
      </w:r>
      <w:r w:rsidR="00A329A7" w:rsidRPr="00A329A7">
        <w:rPr>
          <w:rFonts w:ascii="Arial" w:hAnsi="Arial" w:cs="Arial"/>
        </w:rPr>
        <w:t xml:space="preserve"> 5 430 Kč měsíčně. Sestává </w:t>
      </w:r>
      <w:r w:rsidR="00936908">
        <w:rPr>
          <w:rFonts w:ascii="Arial" w:hAnsi="Arial" w:cs="Arial"/>
        </w:rPr>
        <w:t>z</w:t>
      </w:r>
      <w:r w:rsidR="00A329A7" w:rsidRPr="00A329A7">
        <w:rPr>
          <w:rFonts w:ascii="Arial" w:hAnsi="Arial" w:cs="Arial"/>
        </w:rPr>
        <w:t>e základní výměry 4 660 Kč (</w:t>
      </w:r>
      <w:r w:rsidR="00A329A7">
        <w:rPr>
          <w:rFonts w:ascii="Arial" w:hAnsi="Arial" w:cs="Arial"/>
        </w:rPr>
        <w:t xml:space="preserve">= </w:t>
      </w:r>
      <w:r w:rsidR="00A329A7" w:rsidRPr="00A329A7">
        <w:rPr>
          <w:rFonts w:ascii="Arial" w:hAnsi="Arial" w:cs="Arial"/>
        </w:rPr>
        <w:t>10 % průměrné mzdy v národním hospodářství</w:t>
      </w:r>
      <w:r w:rsidR="003E726B">
        <w:rPr>
          <w:rFonts w:ascii="Arial" w:hAnsi="Arial" w:cs="Arial"/>
        </w:rPr>
        <w:t xml:space="preserve"> v roce 2025</w:t>
      </w:r>
      <w:r w:rsidR="00A329A7" w:rsidRPr="00A329A7">
        <w:rPr>
          <w:rFonts w:ascii="Arial" w:hAnsi="Arial" w:cs="Arial"/>
        </w:rPr>
        <w:t xml:space="preserve">) a minimální procentní výměry 770 Kč. Průměrná mzda </w:t>
      </w:r>
      <w:bookmarkStart w:id="3" w:name="_Hlk210996962"/>
      <w:r w:rsidR="00A329A7" w:rsidRPr="00A329A7">
        <w:rPr>
          <w:rFonts w:ascii="Arial" w:hAnsi="Arial" w:cs="Arial"/>
        </w:rPr>
        <w:t xml:space="preserve">v národním hospodářství </w:t>
      </w:r>
      <w:bookmarkEnd w:id="3"/>
      <w:r w:rsidR="00A329A7" w:rsidRPr="00A329A7">
        <w:rPr>
          <w:rFonts w:ascii="Arial" w:hAnsi="Arial" w:cs="Arial"/>
        </w:rPr>
        <w:t xml:space="preserve">je </w:t>
      </w:r>
      <w:r w:rsidR="001077A8">
        <w:rPr>
          <w:rFonts w:ascii="Arial" w:hAnsi="Arial" w:cs="Arial"/>
        </w:rPr>
        <w:t xml:space="preserve">každý rok stanovena jako </w:t>
      </w:r>
      <w:r w:rsidR="00A329A7" w:rsidRPr="00A329A7">
        <w:rPr>
          <w:rFonts w:ascii="Arial" w:hAnsi="Arial" w:cs="Arial"/>
        </w:rPr>
        <w:t xml:space="preserve">podíl všech mezd, platů, příplatků, odměn a náhrad před srážkami přepočtený na jednoho zaměstnance za měsíc </w:t>
      </w:r>
      <w:r>
        <w:rPr>
          <w:rFonts w:ascii="Arial" w:hAnsi="Arial" w:cs="Arial"/>
        </w:rPr>
        <w:t xml:space="preserve">podle </w:t>
      </w:r>
      <w:r w:rsidR="00A329A7" w:rsidRPr="00A329A7">
        <w:rPr>
          <w:rFonts w:ascii="Arial" w:hAnsi="Arial" w:cs="Arial"/>
        </w:rPr>
        <w:t>dat Českého statistického úřadu</w:t>
      </w:r>
      <w:r w:rsidR="00C5195A">
        <w:rPr>
          <w:rFonts w:ascii="Arial" w:hAnsi="Arial" w:cs="Arial"/>
        </w:rPr>
        <w:t>.</w:t>
      </w:r>
    </w:p>
    <w:p w14:paraId="7FC2BAA9" w14:textId="77777777" w:rsidR="00A329A7" w:rsidRPr="00A329A7" w:rsidRDefault="00A329A7" w:rsidP="00A329A7"/>
    <w:p w14:paraId="27209E80" w14:textId="7FAC891C" w:rsidR="00C5195A" w:rsidRDefault="00A329A7" w:rsidP="00C5195A">
      <w:pPr>
        <w:ind w:left="708"/>
        <w:jc w:val="both"/>
        <w:rPr>
          <w:rFonts w:ascii="Arial" w:hAnsi="Arial" w:cs="Arial"/>
        </w:rPr>
      </w:pPr>
      <w:r w:rsidRPr="00A329A7">
        <w:rPr>
          <w:rFonts w:ascii="Arial" w:hAnsi="Arial" w:cs="Arial"/>
        </w:rPr>
        <w:t xml:space="preserve">Od roku 2026 </w:t>
      </w:r>
      <w:r w:rsidRPr="00C5195A">
        <w:rPr>
          <w:rFonts w:ascii="Arial" w:hAnsi="Arial" w:cs="Arial"/>
        </w:rPr>
        <w:t xml:space="preserve">nastává významná změna. Minimální důchod </w:t>
      </w:r>
      <w:r w:rsidR="00C5195A">
        <w:rPr>
          <w:rFonts w:ascii="Arial" w:hAnsi="Arial" w:cs="Arial"/>
        </w:rPr>
        <w:t>bude počítán už jen jako procentní podíl z průměrné mzdy v národním hospodářství</w:t>
      </w:r>
      <w:r w:rsidR="0003427C">
        <w:rPr>
          <w:rFonts w:ascii="Arial" w:hAnsi="Arial" w:cs="Arial"/>
        </w:rPr>
        <w:t xml:space="preserve"> takto: </w:t>
      </w:r>
    </w:p>
    <w:p w14:paraId="42E502A2" w14:textId="73C002EC" w:rsidR="00C5195A" w:rsidRDefault="00C5195A" w:rsidP="00C5195A">
      <w:pPr>
        <w:ind w:left="708"/>
        <w:jc w:val="both"/>
        <w:rPr>
          <w:rFonts w:ascii="Arial" w:hAnsi="Arial" w:cs="Arial"/>
        </w:rPr>
      </w:pPr>
    </w:p>
    <w:p w14:paraId="59F4F540" w14:textId="732916FB" w:rsidR="00C5195A" w:rsidRPr="0003427C" w:rsidRDefault="00C5195A" w:rsidP="00AF6DCB">
      <w:pPr>
        <w:pBdr>
          <w:bottom w:val="single" w:sz="4" w:space="1" w:color="auto"/>
        </w:pBdr>
        <w:ind w:firstLine="708"/>
        <w:jc w:val="both"/>
        <w:rPr>
          <w:rFonts w:ascii="Arial" w:hAnsi="Arial" w:cs="Arial"/>
          <w:b/>
          <w:bCs/>
        </w:rPr>
      </w:pPr>
      <w:r w:rsidRPr="00C5195A">
        <w:rPr>
          <w:rFonts w:ascii="Arial" w:hAnsi="Arial" w:cs="Arial"/>
          <w:b/>
          <w:bCs/>
        </w:rPr>
        <w:t xml:space="preserve">Druh důchodu </w:t>
      </w:r>
      <w:r w:rsidRPr="00C5195A">
        <w:rPr>
          <w:rFonts w:ascii="Arial" w:hAnsi="Arial" w:cs="Arial"/>
          <w:b/>
          <w:bCs/>
        </w:rPr>
        <w:tab/>
      </w:r>
      <w:r w:rsidRPr="00C5195A">
        <w:rPr>
          <w:rFonts w:ascii="Arial" w:hAnsi="Arial" w:cs="Arial"/>
          <w:b/>
          <w:bCs/>
        </w:rPr>
        <w:tab/>
      </w:r>
      <w:r w:rsidRPr="00C5195A">
        <w:rPr>
          <w:rFonts w:ascii="Arial" w:hAnsi="Arial" w:cs="Arial"/>
          <w:b/>
          <w:bCs/>
        </w:rPr>
        <w:tab/>
      </w:r>
      <w:r w:rsidRPr="00C5195A">
        <w:rPr>
          <w:rFonts w:ascii="Arial" w:hAnsi="Arial" w:cs="Arial"/>
          <w:b/>
          <w:bCs/>
        </w:rPr>
        <w:tab/>
      </w:r>
      <w:r w:rsidRPr="00C5195A">
        <w:rPr>
          <w:rFonts w:ascii="Arial" w:hAnsi="Arial" w:cs="Arial"/>
          <w:b/>
          <w:bCs/>
        </w:rPr>
        <w:tab/>
        <w:t xml:space="preserve">Minimální výše v % </w:t>
      </w:r>
      <w:r w:rsidRPr="0003427C">
        <w:rPr>
          <w:rFonts w:ascii="Arial" w:hAnsi="Arial" w:cs="Arial"/>
          <w:b/>
          <w:bCs/>
        </w:rPr>
        <w:t>z průměrné mzdy v NH</w:t>
      </w:r>
    </w:p>
    <w:p w14:paraId="6A18AA82" w14:textId="0A07DFB2" w:rsidR="00C5195A" w:rsidRPr="00C5195A" w:rsidRDefault="00C5195A" w:rsidP="00C5195A">
      <w:pPr>
        <w:ind w:left="708"/>
        <w:jc w:val="both"/>
        <w:rPr>
          <w:rFonts w:ascii="Arial" w:hAnsi="Arial" w:cs="Arial"/>
        </w:rPr>
      </w:pPr>
      <w:r w:rsidRPr="00C5195A">
        <w:rPr>
          <w:rFonts w:ascii="Arial" w:hAnsi="Arial" w:cs="Arial"/>
        </w:rPr>
        <w:t>Starobní vč</w:t>
      </w:r>
      <w:r w:rsidR="005B7D03">
        <w:rPr>
          <w:rFonts w:ascii="Arial" w:hAnsi="Arial" w:cs="Arial"/>
        </w:rPr>
        <w:t xml:space="preserve">etně </w:t>
      </w:r>
      <w:r>
        <w:rPr>
          <w:rFonts w:ascii="Arial" w:hAnsi="Arial" w:cs="Arial"/>
        </w:rPr>
        <w:t>p</w:t>
      </w:r>
      <w:r w:rsidRPr="00C5195A">
        <w:rPr>
          <w:rFonts w:ascii="Arial" w:hAnsi="Arial" w:cs="Arial"/>
        </w:rPr>
        <w:t>ředčasného a odloženého</w:t>
      </w:r>
      <w:r>
        <w:rPr>
          <w:rFonts w:ascii="Arial" w:hAnsi="Arial" w:cs="Arial"/>
        </w:rPr>
        <w:tab/>
      </w:r>
      <w:r w:rsidRPr="00C5195A">
        <w:rPr>
          <w:rFonts w:ascii="Arial" w:hAnsi="Arial" w:cs="Arial"/>
        </w:rPr>
        <w:t xml:space="preserve">20 % </w:t>
      </w:r>
      <w:r w:rsidRPr="00C5195A">
        <w:rPr>
          <w:rFonts w:ascii="Arial" w:hAnsi="Arial" w:cs="Arial"/>
        </w:rPr>
        <w:tab/>
      </w:r>
      <w:r>
        <w:rPr>
          <w:rFonts w:ascii="Arial" w:hAnsi="Arial" w:cs="Arial"/>
        </w:rPr>
        <w:tab/>
      </w:r>
    </w:p>
    <w:p w14:paraId="257173BD" w14:textId="729D4552" w:rsidR="00C5195A" w:rsidRPr="00C5195A" w:rsidRDefault="00C5195A" w:rsidP="00C5195A">
      <w:pPr>
        <w:ind w:left="360" w:firstLine="348"/>
        <w:jc w:val="both"/>
        <w:rPr>
          <w:rFonts w:ascii="Arial" w:hAnsi="Arial" w:cs="Arial"/>
        </w:rPr>
      </w:pPr>
      <w:r w:rsidRPr="00C5195A">
        <w:rPr>
          <w:rFonts w:ascii="Arial" w:hAnsi="Arial" w:cs="Arial"/>
        </w:rPr>
        <w:t>Invalidní 3. stupně</w:t>
      </w:r>
      <w:r w:rsidRPr="00C5195A">
        <w:rPr>
          <w:rFonts w:ascii="Arial" w:hAnsi="Arial" w:cs="Arial"/>
        </w:rPr>
        <w:tab/>
      </w:r>
      <w:r w:rsidRPr="00C5195A">
        <w:rPr>
          <w:rFonts w:ascii="Arial" w:hAnsi="Arial" w:cs="Arial"/>
        </w:rPr>
        <w:tab/>
      </w:r>
      <w:r w:rsidRPr="00C5195A">
        <w:rPr>
          <w:rFonts w:ascii="Arial" w:hAnsi="Arial" w:cs="Arial"/>
        </w:rPr>
        <w:tab/>
      </w:r>
      <w:r>
        <w:rPr>
          <w:rFonts w:ascii="Arial" w:hAnsi="Arial" w:cs="Arial"/>
        </w:rPr>
        <w:tab/>
      </w:r>
      <w:r>
        <w:rPr>
          <w:rFonts w:ascii="Arial" w:hAnsi="Arial" w:cs="Arial"/>
        </w:rPr>
        <w:tab/>
      </w:r>
      <w:bookmarkStart w:id="4" w:name="_Hlk210997332"/>
      <w:r w:rsidRPr="00C5195A">
        <w:rPr>
          <w:rFonts w:ascii="Arial" w:hAnsi="Arial" w:cs="Arial"/>
        </w:rPr>
        <w:t xml:space="preserve">20 % </w:t>
      </w:r>
      <w:r w:rsidRPr="00C5195A">
        <w:rPr>
          <w:rFonts w:ascii="Arial" w:hAnsi="Arial" w:cs="Arial"/>
        </w:rPr>
        <w:tab/>
      </w:r>
      <w:r>
        <w:rPr>
          <w:rFonts w:ascii="Arial" w:hAnsi="Arial" w:cs="Arial"/>
        </w:rPr>
        <w:tab/>
      </w:r>
      <w:bookmarkEnd w:id="4"/>
    </w:p>
    <w:p w14:paraId="0C71EB30" w14:textId="49C40716" w:rsidR="00C5195A" w:rsidRPr="00C5195A" w:rsidRDefault="00C5195A" w:rsidP="00C5195A">
      <w:pPr>
        <w:ind w:left="720"/>
        <w:jc w:val="both"/>
        <w:rPr>
          <w:rFonts w:ascii="Arial" w:hAnsi="Arial" w:cs="Arial"/>
        </w:rPr>
      </w:pPr>
      <w:r w:rsidRPr="00C5195A">
        <w:rPr>
          <w:rFonts w:ascii="Arial" w:hAnsi="Arial" w:cs="Arial"/>
        </w:rPr>
        <w:t>Invalidní 2. stupně</w:t>
      </w:r>
      <w:r w:rsidRPr="00C5195A">
        <w:rPr>
          <w:rFonts w:ascii="Arial" w:hAnsi="Arial" w:cs="Arial"/>
        </w:rPr>
        <w:tab/>
      </w:r>
      <w:r w:rsidRPr="00C5195A">
        <w:rPr>
          <w:rFonts w:ascii="Arial" w:hAnsi="Arial" w:cs="Arial"/>
        </w:rPr>
        <w:tab/>
      </w:r>
      <w:r w:rsidRPr="00C5195A">
        <w:rPr>
          <w:rFonts w:ascii="Arial" w:hAnsi="Arial" w:cs="Arial"/>
        </w:rPr>
        <w:tab/>
      </w:r>
      <w:r>
        <w:rPr>
          <w:rFonts w:ascii="Arial" w:hAnsi="Arial" w:cs="Arial"/>
        </w:rPr>
        <w:tab/>
      </w:r>
      <w:r>
        <w:rPr>
          <w:rFonts w:ascii="Arial" w:hAnsi="Arial" w:cs="Arial"/>
        </w:rPr>
        <w:tab/>
      </w:r>
      <w:r w:rsidRPr="00C5195A">
        <w:rPr>
          <w:rFonts w:ascii="Arial" w:hAnsi="Arial" w:cs="Arial"/>
        </w:rPr>
        <w:t xml:space="preserve">15 % </w:t>
      </w:r>
      <w:r w:rsidRPr="00C5195A">
        <w:rPr>
          <w:rFonts w:ascii="Arial" w:hAnsi="Arial" w:cs="Arial"/>
        </w:rPr>
        <w:tab/>
      </w:r>
      <w:r>
        <w:rPr>
          <w:rFonts w:ascii="Arial" w:hAnsi="Arial" w:cs="Arial"/>
        </w:rPr>
        <w:tab/>
      </w:r>
    </w:p>
    <w:p w14:paraId="09583588" w14:textId="351230BB" w:rsidR="00C5195A" w:rsidRPr="00C5195A" w:rsidRDefault="00C5195A" w:rsidP="00C5195A">
      <w:pPr>
        <w:ind w:left="720"/>
        <w:jc w:val="both"/>
        <w:rPr>
          <w:rFonts w:ascii="Arial" w:hAnsi="Arial" w:cs="Arial"/>
        </w:rPr>
      </w:pPr>
      <w:r w:rsidRPr="00C5195A">
        <w:rPr>
          <w:rFonts w:ascii="Arial" w:hAnsi="Arial" w:cs="Arial"/>
        </w:rPr>
        <w:t>Invalidní 1. stupně</w:t>
      </w:r>
      <w:r w:rsidRPr="00C5195A">
        <w:rPr>
          <w:rFonts w:ascii="Arial" w:hAnsi="Arial" w:cs="Arial"/>
        </w:rPr>
        <w:tab/>
      </w:r>
      <w:r w:rsidRPr="00C5195A">
        <w:rPr>
          <w:rFonts w:ascii="Arial" w:hAnsi="Arial" w:cs="Arial"/>
        </w:rPr>
        <w:tab/>
      </w:r>
      <w:r w:rsidRPr="00C5195A">
        <w:rPr>
          <w:rFonts w:ascii="Arial" w:hAnsi="Arial" w:cs="Arial"/>
        </w:rPr>
        <w:tab/>
      </w:r>
      <w:r>
        <w:rPr>
          <w:rFonts w:ascii="Arial" w:hAnsi="Arial" w:cs="Arial"/>
        </w:rPr>
        <w:tab/>
      </w:r>
      <w:r>
        <w:rPr>
          <w:rFonts w:ascii="Arial" w:hAnsi="Arial" w:cs="Arial"/>
        </w:rPr>
        <w:tab/>
      </w:r>
      <w:r w:rsidRPr="00C5195A">
        <w:rPr>
          <w:rFonts w:ascii="Arial" w:hAnsi="Arial" w:cs="Arial"/>
        </w:rPr>
        <w:t xml:space="preserve">13,33 % </w:t>
      </w:r>
      <w:r>
        <w:rPr>
          <w:rFonts w:ascii="Arial" w:hAnsi="Arial" w:cs="Arial"/>
        </w:rPr>
        <w:tab/>
      </w:r>
    </w:p>
    <w:p w14:paraId="180A5283" w14:textId="55B527EA" w:rsidR="00C5195A" w:rsidRPr="00C5195A" w:rsidRDefault="00C5195A" w:rsidP="00C5195A">
      <w:pPr>
        <w:ind w:left="720"/>
        <w:jc w:val="both"/>
        <w:rPr>
          <w:rFonts w:ascii="Arial" w:hAnsi="Arial" w:cs="Arial"/>
        </w:rPr>
      </w:pPr>
      <w:r w:rsidRPr="00C5195A">
        <w:rPr>
          <w:rFonts w:ascii="Arial" w:hAnsi="Arial" w:cs="Arial"/>
        </w:rPr>
        <w:t>Vdovský</w:t>
      </w:r>
      <w:r w:rsidR="00AC504E">
        <w:rPr>
          <w:rFonts w:ascii="Arial" w:hAnsi="Arial" w:cs="Arial"/>
        </w:rPr>
        <w:t xml:space="preserve">, </w:t>
      </w:r>
      <w:r w:rsidRPr="00C5195A">
        <w:rPr>
          <w:rFonts w:ascii="Arial" w:hAnsi="Arial" w:cs="Arial"/>
        </w:rPr>
        <w:t>vdovecký</w:t>
      </w:r>
      <w:r w:rsidRPr="00C5195A">
        <w:rPr>
          <w:rFonts w:ascii="Arial" w:hAnsi="Arial" w:cs="Arial"/>
        </w:rPr>
        <w:tab/>
      </w:r>
      <w:r w:rsidRPr="00C5195A">
        <w:rPr>
          <w:rFonts w:ascii="Arial" w:hAnsi="Arial" w:cs="Arial"/>
        </w:rPr>
        <w:tab/>
      </w:r>
      <w:r w:rsidRPr="00C5195A">
        <w:rPr>
          <w:rFonts w:ascii="Arial" w:hAnsi="Arial" w:cs="Arial"/>
        </w:rPr>
        <w:tab/>
      </w:r>
      <w:r>
        <w:rPr>
          <w:rFonts w:ascii="Arial" w:hAnsi="Arial" w:cs="Arial"/>
        </w:rPr>
        <w:tab/>
      </w:r>
      <w:r>
        <w:rPr>
          <w:rFonts w:ascii="Arial" w:hAnsi="Arial" w:cs="Arial"/>
        </w:rPr>
        <w:tab/>
      </w:r>
      <w:r w:rsidRPr="00C5195A">
        <w:rPr>
          <w:rFonts w:ascii="Arial" w:hAnsi="Arial" w:cs="Arial"/>
        </w:rPr>
        <w:t xml:space="preserve">15 % </w:t>
      </w:r>
      <w:r w:rsidRPr="00C5195A">
        <w:rPr>
          <w:rFonts w:ascii="Arial" w:hAnsi="Arial" w:cs="Arial"/>
        </w:rPr>
        <w:tab/>
      </w:r>
      <w:r>
        <w:rPr>
          <w:rFonts w:ascii="Arial" w:hAnsi="Arial" w:cs="Arial"/>
        </w:rPr>
        <w:tab/>
      </w:r>
    </w:p>
    <w:p w14:paraId="1DBB6EEB" w14:textId="53FCBDDD" w:rsidR="0003427C" w:rsidRPr="0003427C" w:rsidRDefault="00C5195A" w:rsidP="0003427C">
      <w:pPr>
        <w:pBdr>
          <w:bottom w:val="single" w:sz="4" w:space="1" w:color="auto"/>
        </w:pBdr>
        <w:ind w:firstLine="708"/>
        <w:jc w:val="both"/>
        <w:rPr>
          <w:rFonts w:ascii="Arial" w:hAnsi="Arial" w:cs="Arial"/>
        </w:rPr>
      </w:pPr>
      <w:r w:rsidRPr="00C5195A">
        <w:rPr>
          <w:rFonts w:ascii="Arial" w:hAnsi="Arial" w:cs="Arial"/>
        </w:rPr>
        <w:t>Sirotčí</w:t>
      </w:r>
      <w:r w:rsidRPr="00C5195A">
        <w:rPr>
          <w:rFonts w:ascii="Arial" w:hAnsi="Arial" w:cs="Arial"/>
        </w:rPr>
        <w:tab/>
      </w:r>
      <w:r w:rsidRPr="00C5195A">
        <w:rPr>
          <w:rFonts w:ascii="Arial" w:hAnsi="Arial" w:cs="Arial"/>
        </w:rPr>
        <w:tab/>
      </w:r>
      <w:r w:rsidRPr="00C5195A">
        <w:rPr>
          <w:rFonts w:ascii="Arial" w:hAnsi="Arial" w:cs="Arial"/>
        </w:rPr>
        <w:tab/>
      </w:r>
      <w:r w:rsidRPr="00C5195A">
        <w:rPr>
          <w:rFonts w:ascii="Arial" w:hAnsi="Arial" w:cs="Arial"/>
        </w:rPr>
        <w:tab/>
      </w:r>
      <w:r w:rsidRPr="0003427C">
        <w:rPr>
          <w:rFonts w:ascii="Arial" w:hAnsi="Arial" w:cs="Arial"/>
        </w:rPr>
        <w:tab/>
      </w:r>
      <w:r w:rsidRPr="0003427C">
        <w:rPr>
          <w:rFonts w:ascii="Arial" w:hAnsi="Arial" w:cs="Arial"/>
        </w:rPr>
        <w:tab/>
      </w:r>
      <w:r w:rsidRPr="00C5195A">
        <w:rPr>
          <w:rFonts w:ascii="Arial" w:hAnsi="Arial" w:cs="Arial"/>
        </w:rPr>
        <w:tab/>
        <w:t xml:space="preserve">14 %   </w:t>
      </w:r>
    </w:p>
    <w:p w14:paraId="04AEDDF8" w14:textId="77777777" w:rsidR="0003427C" w:rsidRDefault="0003427C" w:rsidP="0003427C">
      <w:pPr>
        <w:ind w:left="708"/>
        <w:jc w:val="both"/>
        <w:rPr>
          <w:rFonts w:ascii="Arial" w:hAnsi="Arial" w:cs="Arial"/>
        </w:rPr>
      </w:pPr>
    </w:p>
    <w:p w14:paraId="59ACD988" w14:textId="545F49C1" w:rsidR="0003427C" w:rsidRDefault="0003427C" w:rsidP="00E72C43">
      <w:pPr>
        <w:spacing w:after="240"/>
        <w:ind w:left="708"/>
        <w:jc w:val="both"/>
        <w:rPr>
          <w:rFonts w:ascii="Arial" w:hAnsi="Arial" w:cs="Arial"/>
        </w:rPr>
      </w:pPr>
      <w:r>
        <w:rPr>
          <w:rFonts w:ascii="Arial" w:hAnsi="Arial" w:cs="Arial"/>
        </w:rPr>
        <w:t>10 % z těchto hodnot tvoří základní výměra a zbytek procentní výměr</w:t>
      </w:r>
      <w:r w:rsidR="008B180D">
        <w:rPr>
          <w:rFonts w:ascii="Arial" w:hAnsi="Arial" w:cs="Arial"/>
        </w:rPr>
        <w:t>a. Základní výměra se bude valorizovat stejně jako u ostatních důchodů. P</w:t>
      </w:r>
      <w:r w:rsidR="008B180D" w:rsidRPr="008B180D">
        <w:rPr>
          <w:rFonts w:ascii="Arial" w:hAnsi="Arial" w:cs="Arial"/>
        </w:rPr>
        <w:t xml:space="preserve">rocentní výměra </w:t>
      </w:r>
      <w:r w:rsidR="008B180D">
        <w:rPr>
          <w:rFonts w:ascii="Arial" w:hAnsi="Arial" w:cs="Arial"/>
        </w:rPr>
        <w:t xml:space="preserve">bude </w:t>
      </w:r>
      <w:r w:rsidR="008B180D" w:rsidRPr="008B180D">
        <w:rPr>
          <w:rFonts w:ascii="Arial" w:hAnsi="Arial" w:cs="Arial"/>
        </w:rPr>
        <w:t>ne</w:t>
      </w:r>
      <w:r w:rsidR="008B180D">
        <w:rPr>
          <w:rFonts w:ascii="Arial" w:hAnsi="Arial" w:cs="Arial"/>
        </w:rPr>
        <w:t>jdříve</w:t>
      </w:r>
      <w:r w:rsidR="008B180D" w:rsidRPr="008B180D">
        <w:rPr>
          <w:rFonts w:ascii="Arial" w:hAnsi="Arial" w:cs="Arial"/>
        </w:rPr>
        <w:t xml:space="preserve"> valorizována podle obecných pravidel a bude-li nižší než minimální procentní výměra </w:t>
      </w:r>
      <w:r w:rsidR="008B180D">
        <w:rPr>
          <w:rFonts w:ascii="Arial" w:hAnsi="Arial" w:cs="Arial"/>
        </w:rPr>
        <w:t xml:space="preserve">příslušného </w:t>
      </w:r>
      <w:r w:rsidR="008B180D" w:rsidRPr="008B180D">
        <w:rPr>
          <w:rFonts w:ascii="Arial" w:hAnsi="Arial" w:cs="Arial"/>
        </w:rPr>
        <w:t xml:space="preserve">důchodu platná pro nový kalendářní rok, </w:t>
      </w:r>
      <w:r w:rsidR="008B180D">
        <w:rPr>
          <w:rFonts w:ascii="Arial" w:hAnsi="Arial" w:cs="Arial"/>
        </w:rPr>
        <w:t xml:space="preserve">zvýší se </w:t>
      </w:r>
      <w:r w:rsidR="008B180D" w:rsidRPr="008B180D">
        <w:rPr>
          <w:rFonts w:ascii="Arial" w:hAnsi="Arial" w:cs="Arial"/>
        </w:rPr>
        <w:t>na tuto minimální částku.</w:t>
      </w:r>
    </w:p>
    <w:p w14:paraId="23FF7A8B" w14:textId="530B4330" w:rsidR="002E3A45" w:rsidRDefault="006B43F8" w:rsidP="00E72C43">
      <w:pPr>
        <w:spacing w:after="240"/>
        <w:ind w:left="708"/>
        <w:jc w:val="both"/>
        <w:rPr>
          <w:rFonts w:ascii="Arial" w:hAnsi="Arial" w:cs="Arial"/>
        </w:rPr>
      </w:pPr>
      <w:r>
        <w:rPr>
          <w:rFonts w:ascii="Arial" w:hAnsi="Arial" w:cs="Arial"/>
        </w:rPr>
        <w:t xml:space="preserve">Vzhledem k tomu, že průměrná mzda v národním hospodářství je pro rok 2026 stanovena na 49 000 Kč, bude minimální starobní důchod a invalidní důchod 3. stupně </w:t>
      </w:r>
      <w:r w:rsidR="00EF0E75">
        <w:rPr>
          <w:rFonts w:ascii="Arial" w:hAnsi="Arial" w:cs="Arial"/>
        </w:rPr>
        <w:t xml:space="preserve">v roce 2026 </w:t>
      </w:r>
      <w:r>
        <w:rPr>
          <w:rFonts w:ascii="Arial" w:hAnsi="Arial" w:cs="Arial"/>
        </w:rPr>
        <w:t>činit 9 800 Kč</w:t>
      </w:r>
      <w:r w:rsidR="0049525E">
        <w:rPr>
          <w:rFonts w:ascii="Arial" w:hAnsi="Arial" w:cs="Arial"/>
        </w:rPr>
        <w:t>. O</w:t>
      </w:r>
      <w:r w:rsidR="002E3A45">
        <w:rPr>
          <w:rFonts w:ascii="Arial" w:hAnsi="Arial" w:cs="Arial"/>
        </w:rPr>
        <w:t xml:space="preserve">statní minimální důchody </w:t>
      </w:r>
      <w:r w:rsidR="00D01B48">
        <w:rPr>
          <w:rFonts w:ascii="Arial" w:hAnsi="Arial" w:cs="Arial"/>
        </w:rPr>
        <w:t xml:space="preserve">pak </w:t>
      </w:r>
      <w:r w:rsidR="002E3A45">
        <w:rPr>
          <w:rFonts w:ascii="Arial" w:hAnsi="Arial" w:cs="Arial"/>
        </w:rPr>
        <w:t xml:space="preserve">budou </w:t>
      </w:r>
      <w:r w:rsidR="00EF0E75">
        <w:rPr>
          <w:rFonts w:ascii="Arial" w:hAnsi="Arial" w:cs="Arial"/>
        </w:rPr>
        <w:t>v roce 2026 v</w:t>
      </w:r>
      <w:r w:rsidR="002E3A45">
        <w:rPr>
          <w:rFonts w:ascii="Arial" w:hAnsi="Arial" w:cs="Arial"/>
        </w:rPr>
        <w:t> těchto hodnotách:</w:t>
      </w:r>
    </w:p>
    <w:p w14:paraId="2EEB7A99" w14:textId="7A5FD26E" w:rsidR="002E3A45" w:rsidRPr="002E3A45" w:rsidRDefault="00B7227E" w:rsidP="005B7D03">
      <w:pPr>
        <w:pBdr>
          <w:top w:val="single" w:sz="4" w:space="1" w:color="auto"/>
        </w:pBdr>
        <w:ind w:left="708"/>
        <w:jc w:val="both"/>
        <w:rPr>
          <w:rFonts w:ascii="Arial" w:hAnsi="Arial" w:cs="Arial"/>
        </w:rPr>
      </w:pPr>
      <w:r>
        <w:rPr>
          <w:rFonts w:ascii="Arial" w:hAnsi="Arial" w:cs="Arial"/>
        </w:rPr>
        <w:t>I</w:t>
      </w:r>
      <w:r w:rsidR="002E3A45" w:rsidRPr="002E3A45">
        <w:rPr>
          <w:rFonts w:ascii="Arial" w:hAnsi="Arial" w:cs="Arial"/>
        </w:rPr>
        <w:t>nvalidní 2. stupně</w:t>
      </w:r>
      <w:r w:rsidR="002E3A45" w:rsidRPr="002E3A45">
        <w:rPr>
          <w:rFonts w:ascii="Arial" w:hAnsi="Arial" w:cs="Arial"/>
        </w:rPr>
        <w:tab/>
      </w:r>
      <w:r w:rsidR="002E3A45">
        <w:rPr>
          <w:rFonts w:ascii="Arial" w:hAnsi="Arial" w:cs="Arial"/>
        </w:rPr>
        <w:tab/>
      </w:r>
      <w:r w:rsidR="002E3A45" w:rsidRPr="002E3A45">
        <w:rPr>
          <w:rFonts w:ascii="Arial" w:hAnsi="Arial" w:cs="Arial"/>
        </w:rPr>
        <w:t>7 350 Kč</w:t>
      </w:r>
    </w:p>
    <w:p w14:paraId="1ACB172D" w14:textId="2D95D31C" w:rsidR="002E3A45" w:rsidRPr="002E3A45" w:rsidRDefault="00AC504E" w:rsidP="002E3A45">
      <w:pPr>
        <w:ind w:left="708"/>
        <w:jc w:val="both"/>
        <w:rPr>
          <w:rFonts w:ascii="Arial" w:hAnsi="Arial" w:cs="Arial"/>
        </w:rPr>
      </w:pPr>
      <w:r>
        <w:rPr>
          <w:rFonts w:ascii="Arial" w:hAnsi="Arial" w:cs="Arial"/>
        </w:rPr>
        <w:t>I</w:t>
      </w:r>
      <w:r w:rsidR="002E3A45" w:rsidRPr="002E3A45">
        <w:rPr>
          <w:rFonts w:ascii="Arial" w:hAnsi="Arial" w:cs="Arial"/>
        </w:rPr>
        <w:t>nvalidní 1. stupně</w:t>
      </w:r>
      <w:r w:rsidR="002E3A45" w:rsidRPr="002E3A45">
        <w:rPr>
          <w:rFonts w:ascii="Arial" w:hAnsi="Arial" w:cs="Arial"/>
        </w:rPr>
        <w:tab/>
      </w:r>
      <w:r w:rsidR="002E3A45">
        <w:rPr>
          <w:rFonts w:ascii="Arial" w:hAnsi="Arial" w:cs="Arial"/>
        </w:rPr>
        <w:tab/>
      </w:r>
      <w:r w:rsidR="002E3A45" w:rsidRPr="002E3A45">
        <w:rPr>
          <w:rFonts w:ascii="Arial" w:hAnsi="Arial" w:cs="Arial"/>
        </w:rPr>
        <w:t>6 53</w:t>
      </w:r>
      <w:r w:rsidR="00EF0E75">
        <w:rPr>
          <w:rFonts w:ascii="Arial" w:hAnsi="Arial" w:cs="Arial"/>
        </w:rPr>
        <w:t>0</w:t>
      </w:r>
      <w:r w:rsidR="002E3A45" w:rsidRPr="002E3A45">
        <w:rPr>
          <w:rFonts w:ascii="Arial" w:hAnsi="Arial" w:cs="Arial"/>
        </w:rPr>
        <w:t xml:space="preserve"> Kč</w:t>
      </w:r>
    </w:p>
    <w:p w14:paraId="7C44D9C8" w14:textId="2028DD78" w:rsidR="002E3A45" w:rsidRPr="002E3A45" w:rsidRDefault="00AC504E" w:rsidP="002E3A45">
      <w:pPr>
        <w:ind w:left="708"/>
        <w:jc w:val="both"/>
        <w:rPr>
          <w:rFonts w:ascii="Arial" w:hAnsi="Arial" w:cs="Arial"/>
        </w:rPr>
      </w:pPr>
      <w:r>
        <w:rPr>
          <w:rFonts w:ascii="Arial" w:hAnsi="Arial" w:cs="Arial"/>
        </w:rPr>
        <w:t>V</w:t>
      </w:r>
      <w:r w:rsidR="002E3A45" w:rsidRPr="002E3A45">
        <w:rPr>
          <w:rFonts w:ascii="Arial" w:hAnsi="Arial" w:cs="Arial"/>
        </w:rPr>
        <w:t>dovský, vdovecký</w:t>
      </w:r>
      <w:r w:rsidR="002E3A45" w:rsidRPr="002E3A45">
        <w:rPr>
          <w:rFonts w:ascii="Arial" w:hAnsi="Arial" w:cs="Arial"/>
        </w:rPr>
        <w:tab/>
      </w:r>
      <w:r w:rsidR="002E3A45">
        <w:rPr>
          <w:rFonts w:ascii="Arial" w:hAnsi="Arial" w:cs="Arial"/>
        </w:rPr>
        <w:tab/>
      </w:r>
      <w:r w:rsidR="002E3A45" w:rsidRPr="002E3A45">
        <w:rPr>
          <w:rFonts w:ascii="Arial" w:hAnsi="Arial" w:cs="Arial"/>
        </w:rPr>
        <w:t>7 350 Kč</w:t>
      </w:r>
    </w:p>
    <w:p w14:paraId="43D8D320" w14:textId="527EAFED" w:rsidR="002E3A45" w:rsidRDefault="00AC504E" w:rsidP="005B7D03">
      <w:pPr>
        <w:pBdr>
          <w:bottom w:val="single" w:sz="4" w:space="1" w:color="auto"/>
        </w:pBdr>
        <w:spacing w:after="240"/>
        <w:ind w:left="708"/>
        <w:jc w:val="both"/>
        <w:rPr>
          <w:rFonts w:ascii="Arial" w:hAnsi="Arial" w:cs="Arial"/>
        </w:rPr>
      </w:pPr>
      <w:r>
        <w:rPr>
          <w:rFonts w:ascii="Arial" w:hAnsi="Arial" w:cs="Arial"/>
        </w:rPr>
        <w:t>S</w:t>
      </w:r>
      <w:r w:rsidR="002E3A45" w:rsidRPr="002E3A45">
        <w:rPr>
          <w:rFonts w:ascii="Arial" w:hAnsi="Arial" w:cs="Arial"/>
        </w:rPr>
        <w:t>irotčí</w:t>
      </w:r>
      <w:r w:rsidR="002E3A45" w:rsidRPr="002E3A45">
        <w:rPr>
          <w:rFonts w:ascii="Arial" w:hAnsi="Arial" w:cs="Arial"/>
        </w:rPr>
        <w:tab/>
      </w:r>
      <w:r w:rsidR="002E3A45">
        <w:rPr>
          <w:rFonts w:ascii="Arial" w:hAnsi="Arial" w:cs="Arial"/>
        </w:rPr>
        <w:tab/>
      </w:r>
      <w:r w:rsidR="002E3A45">
        <w:rPr>
          <w:rFonts w:ascii="Arial" w:hAnsi="Arial" w:cs="Arial"/>
        </w:rPr>
        <w:tab/>
      </w:r>
      <w:r w:rsidR="002E3A45">
        <w:rPr>
          <w:rFonts w:ascii="Arial" w:hAnsi="Arial" w:cs="Arial"/>
        </w:rPr>
        <w:tab/>
      </w:r>
      <w:r w:rsidR="002E3A45" w:rsidRPr="002E3A45">
        <w:rPr>
          <w:rFonts w:ascii="Arial" w:hAnsi="Arial" w:cs="Arial"/>
        </w:rPr>
        <w:t>6 860 Kč</w:t>
      </w:r>
    </w:p>
    <w:p w14:paraId="5F0C3697" w14:textId="5E6B86D7" w:rsidR="00C5195A" w:rsidRDefault="00B7227E" w:rsidP="0049525E">
      <w:pPr>
        <w:spacing w:after="240"/>
        <w:ind w:left="708"/>
        <w:jc w:val="both"/>
        <w:rPr>
          <w:rFonts w:ascii="Arial" w:hAnsi="Arial" w:cs="Arial"/>
        </w:rPr>
      </w:pPr>
      <w:r>
        <w:rPr>
          <w:rFonts w:ascii="Arial" w:hAnsi="Arial" w:cs="Arial"/>
        </w:rPr>
        <w:t xml:space="preserve">Zvýšení se </w:t>
      </w:r>
      <w:r w:rsidR="006B43F8">
        <w:rPr>
          <w:rFonts w:ascii="Arial" w:hAnsi="Arial" w:cs="Arial"/>
        </w:rPr>
        <w:t>samozřejmě týká i důchodů přiznaných před rokem 2026, které budou dorovnány automaticky</w:t>
      </w:r>
      <w:r w:rsidR="00D01B48">
        <w:rPr>
          <w:rFonts w:ascii="Arial" w:hAnsi="Arial" w:cs="Arial"/>
        </w:rPr>
        <w:t xml:space="preserve">, </w:t>
      </w:r>
      <w:r w:rsidR="006B43F8">
        <w:rPr>
          <w:rFonts w:ascii="Arial" w:hAnsi="Arial" w:cs="Arial"/>
        </w:rPr>
        <w:t xml:space="preserve">bez žádosti. </w:t>
      </w:r>
      <w:r w:rsidR="0003427C" w:rsidRPr="0003427C">
        <w:rPr>
          <w:rFonts w:ascii="Arial" w:hAnsi="Arial" w:cs="Arial"/>
        </w:rPr>
        <w:t xml:space="preserve">Při </w:t>
      </w:r>
      <w:r w:rsidR="006B43F8">
        <w:rPr>
          <w:rFonts w:ascii="Arial" w:hAnsi="Arial" w:cs="Arial"/>
        </w:rPr>
        <w:t xml:space="preserve">novém </w:t>
      </w:r>
      <w:r w:rsidR="0003427C" w:rsidRPr="0003427C">
        <w:rPr>
          <w:rFonts w:ascii="Arial" w:hAnsi="Arial" w:cs="Arial"/>
        </w:rPr>
        <w:t xml:space="preserve">výpočtu </w:t>
      </w:r>
      <w:r>
        <w:rPr>
          <w:rFonts w:ascii="Arial" w:hAnsi="Arial" w:cs="Arial"/>
        </w:rPr>
        <w:t xml:space="preserve">důchodu </w:t>
      </w:r>
      <w:r w:rsidR="0003427C" w:rsidRPr="0003427C">
        <w:rPr>
          <w:rFonts w:ascii="Arial" w:hAnsi="Arial" w:cs="Arial"/>
        </w:rPr>
        <w:t>bude postup takový, že se porovná výše procentní výměry z</w:t>
      </w:r>
      <w:r w:rsidR="008B180D">
        <w:rPr>
          <w:rFonts w:ascii="Arial" w:hAnsi="Arial" w:cs="Arial"/>
        </w:rPr>
        <w:t> </w:t>
      </w:r>
      <w:r w:rsidR="0003427C" w:rsidRPr="0003427C">
        <w:rPr>
          <w:rFonts w:ascii="Arial" w:hAnsi="Arial" w:cs="Arial"/>
        </w:rPr>
        <w:t>výdělků</w:t>
      </w:r>
      <w:r w:rsidR="008B180D">
        <w:rPr>
          <w:rFonts w:ascii="Arial" w:hAnsi="Arial" w:cs="Arial"/>
        </w:rPr>
        <w:t xml:space="preserve"> </w:t>
      </w:r>
      <w:r>
        <w:rPr>
          <w:rFonts w:ascii="Arial" w:hAnsi="Arial" w:cs="Arial"/>
        </w:rPr>
        <w:t xml:space="preserve">(u starobního důchodu </w:t>
      </w:r>
      <w:r w:rsidR="0003427C" w:rsidRPr="0003427C">
        <w:rPr>
          <w:rFonts w:ascii="Arial" w:hAnsi="Arial" w:cs="Arial"/>
        </w:rPr>
        <w:t>včetně případného výchovného</w:t>
      </w:r>
      <w:r>
        <w:rPr>
          <w:rFonts w:ascii="Arial" w:hAnsi="Arial" w:cs="Arial"/>
        </w:rPr>
        <w:t>)</w:t>
      </w:r>
      <w:r w:rsidR="008B180D">
        <w:rPr>
          <w:rFonts w:ascii="Arial" w:hAnsi="Arial" w:cs="Arial"/>
        </w:rPr>
        <w:t xml:space="preserve"> </w:t>
      </w:r>
      <w:r w:rsidR="0003427C" w:rsidRPr="0003427C">
        <w:rPr>
          <w:rFonts w:ascii="Arial" w:hAnsi="Arial" w:cs="Arial"/>
        </w:rPr>
        <w:t>a výše minimální procentní výměry</w:t>
      </w:r>
      <w:r w:rsidR="0003427C">
        <w:rPr>
          <w:rFonts w:ascii="Arial" w:hAnsi="Arial" w:cs="Arial"/>
        </w:rPr>
        <w:t xml:space="preserve"> a ž</w:t>
      </w:r>
      <w:r w:rsidR="0003427C" w:rsidRPr="0003427C">
        <w:rPr>
          <w:rFonts w:ascii="Arial" w:hAnsi="Arial" w:cs="Arial"/>
        </w:rPr>
        <w:t>adateli bude náležet vyšší z nich.</w:t>
      </w:r>
      <w:r w:rsidR="002E3A45">
        <w:rPr>
          <w:rFonts w:ascii="Arial" w:hAnsi="Arial" w:cs="Arial"/>
        </w:rPr>
        <w:t xml:space="preserve"> </w:t>
      </w:r>
    </w:p>
    <w:p w14:paraId="4C101DB3" w14:textId="2E558178" w:rsidR="00E72C43" w:rsidRPr="00E72C43" w:rsidRDefault="00E72C43" w:rsidP="00E72C43">
      <w:pPr>
        <w:spacing w:after="240"/>
        <w:ind w:left="708"/>
        <w:jc w:val="both"/>
        <w:rPr>
          <w:rFonts w:ascii="Arial" w:hAnsi="Arial" w:cs="Arial"/>
        </w:rPr>
      </w:pPr>
      <w:r w:rsidRPr="00E72C43">
        <w:rPr>
          <w:rFonts w:ascii="Arial" w:hAnsi="Arial" w:cs="Arial"/>
        </w:rPr>
        <w:t>K tématu důchodů js</w:t>
      </w:r>
      <w:r>
        <w:rPr>
          <w:rFonts w:ascii="Arial" w:hAnsi="Arial" w:cs="Arial"/>
        </w:rPr>
        <w:t>em</w:t>
      </w:r>
      <w:r w:rsidRPr="00E72C43">
        <w:rPr>
          <w:rFonts w:ascii="Arial" w:hAnsi="Arial" w:cs="Arial"/>
        </w:rPr>
        <w:t xml:space="preserve"> na závěr př</w:t>
      </w:r>
      <w:r>
        <w:rPr>
          <w:rFonts w:ascii="Arial" w:hAnsi="Arial" w:cs="Arial"/>
        </w:rPr>
        <w:t xml:space="preserve">evzala </w:t>
      </w:r>
      <w:r w:rsidRPr="00E72C43">
        <w:rPr>
          <w:rFonts w:ascii="Arial" w:hAnsi="Arial" w:cs="Arial"/>
        </w:rPr>
        <w:t xml:space="preserve">zajímavý článek Davida </w:t>
      </w:r>
      <w:proofErr w:type="spellStart"/>
      <w:r w:rsidRPr="00E72C43">
        <w:rPr>
          <w:rFonts w:ascii="Arial" w:hAnsi="Arial" w:cs="Arial"/>
        </w:rPr>
        <w:t>Budaie</w:t>
      </w:r>
      <w:proofErr w:type="spellEnd"/>
      <w:r w:rsidRPr="00E72C43">
        <w:rPr>
          <w:rFonts w:ascii="Arial" w:hAnsi="Arial" w:cs="Arial"/>
        </w:rPr>
        <w:t xml:space="preserve"> z webu České důchody</w:t>
      </w:r>
      <w:r>
        <w:rPr>
          <w:rFonts w:ascii="Arial" w:hAnsi="Arial" w:cs="Arial"/>
        </w:rPr>
        <w:t xml:space="preserve">. </w:t>
      </w:r>
    </w:p>
    <w:p w14:paraId="2546569C" w14:textId="33993AEA" w:rsidR="002E6A01" w:rsidRPr="002E6A01" w:rsidRDefault="002E6A01" w:rsidP="00C5195A">
      <w:pPr>
        <w:ind w:left="708"/>
        <w:rPr>
          <w:rFonts w:ascii="Arial" w:hAnsi="Arial" w:cs="Arial"/>
          <w:i/>
          <w:iCs/>
        </w:rPr>
      </w:pPr>
      <w:r w:rsidRPr="002E6A01">
        <w:rPr>
          <w:rFonts w:ascii="Arial" w:hAnsi="Arial" w:cs="Arial"/>
          <w:i/>
          <w:iCs/>
        </w:rPr>
        <w:t xml:space="preserve">Za Sociálně-právní poradnu Václava Baudišová </w:t>
      </w:r>
    </w:p>
    <w:p w14:paraId="394B804C" w14:textId="3E5C3A77" w:rsidR="002E6A01" w:rsidRDefault="002E6A01" w:rsidP="00C5195A">
      <w:pPr>
        <w:ind w:left="708"/>
        <w:rPr>
          <w:rFonts w:ascii="Arial" w:hAnsi="Arial" w:cs="Arial"/>
        </w:rPr>
      </w:pPr>
    </w:p>
    <w:p w14:paraId="5A8451E9" w14:textId="77777777" w:rsidR="00CD6DCC" w:rsidRDefault="00B301D5" w:rsidP="00B301D5">
      <w:r>
        <w:tab/>
      </w:r>
    </w:p>
    <w:p w14:paraId="2FBA4002" w14:textId="67A90727" w:rsidR="00B301D5" w:rsidRPr="00B301D5" w:rsidRDefault="00B301D5" w:rsidP="00CD6DCC">
      <w:pPr>
        <w:ind w:firstLine="708"/>
        <w:rPr>
          <w:rFonts w:ascii="Arial" w:hAnsi="Arial" w:cs="Arial"/>
          <w:b/>
          <w:bCs/>
        </w:rPr>
      </w:pPr>
      <w:r w:rsidRPr="00B301D5">
        <w:rPr>
          <w:rFonts w:ascii="Arial" w:hAnsi="Arial" w:cs="Arial"/>
          <w:b/>
          <w:bCs/>
        </w:rPr>
        <w:t>Roste počet zamítnutých starobních a invalidních důchodů</w:t>
      </w:r>
    </w:p>
    <w:p w14:paraId="23D923B2" w14:textId="77777777" w:rsidR="00B301D5" w:rsidRPr="00B301D5" w:rsidRDefault="00B301D5" w:rsidP="00B301D5">
      <w:pPr>
        <w:rPr>
          <w:rFonts w:ascii="Arial" w:hAnsi="Arial" w:cs="Arial"/>
          <w:b/>
          <w:bCs/>
        </w:rPr>
      </w:pPr>
    </w:p>
    <w:p w14:paraId="17366AEA" w14:textId="77777777" w:rsidR="00B301D5" w:rsidRPr="00B301D5" w:rsidRDefault="00B301D5" w:rsidP="00B301D5">
      <w:pPr>
        <w:ind w:left="708"/>
        <w:jc w:val="both"/>
        <w:rPr>
          <w:rFonts w:ascii="Arial" w:hAnsi="Arial" w:cs="Arial"/>
        </w:rPr>
      </w:pPr>
      <w:r w:rsidRPr="00B301D5">
        <w:rPr>
          <w:rFonts w:ascii="Arial" w:hAnsi="Arial" w:cs="Arial"/>
        </w:rPr>
        <w:t>V posledních pěti letech se kontinuálně zvyšoval počet zamítnutých důchodů. Čísla rostou v absolutním počtu a roste i poměr zamítnutí vůči žádostem. V případě invalidních důchodů bylo v roce 2024 zamítnuto více než 45 % žádostí, tedy téměř polovina.</w:t>
      </w:r>
    </w:p>
    <w:p w14:paraId="1DB052D9" w14:textId="1EE0059B" w:rsidR="00B301D5" w:rsidRPr="00B301D5" w:rsidRDefault="00B301D5" w:rsidP="00B301D5">
      <w:pPr>
        <w:jc w:val="both"/>
        <w:rPr>
          <w:rFonts w:ascii="Arial" w:hAnsi="Arial" w:cs="Arial"/>
        </w:rPr>
      </w:pPr>
    </w:p>
    <w:p w14:paraId="3CC48DD1" w14:textId="13966903" w:rsidR="00B301D5" w:rsidRPr="00B301D5" w:rsidRDefault="00B301D5" w:rsidP="00B301D5">
      <w:pPr>
        <w:ind w:left="708"/>
        <w:jc w:val="both"/>
        <w:rPr>
          <w:rFonts w:ascii="Arial" w:hAnsi="Arial" w:cs="Arial"/>
        </w:rPr>
      </w:pPr>
      <w:r w:rsidRPr="00B301D5">
        <w:rPr>
          <w:rFonts w:ascii="Arial" w:hAnsi="Arial" w:cs="Arial"/>
        </w:rPr>
        <w:t>Statistiky o přiznávaných a zamítaných důchodech, které každý rok zveřejňuje Česká správa sociálního zabezpečení, ukazují nepříznivý trend. Zvyšuje se podíl zamítnutí, tedy poměr mezi počtem žádostí a zamítavých rozhodnutí. Například u starobních důchodů si v roce 2024 zamítavé stanovisko vyslechl téměř každý pátý žadatel o důchod.</w:t>
      </w:r>
    </w:p>
    <w:p w14:paraId="2A40ADE4" w14:textId="43B3205E" w:rsidR="00B301D5" w:rsidRPr="00B301D5" w:rsidRDefault="00B301D5" w:rsidP="00B301D5">
      <w:pPr>
        <w:jc w:val="both"/>
        <w:rPr>
          <w:rFonts w:ascii="Arial" w:hAnsi="Arial" w:cs="Arial"/>
        </w:rPr>
      </w:pPr>
      <w:r w:rsidRPr="00B301D5">
        <w:rPr>
          <w:rFonts w:ascii="Arial" w:hAnsi="Arial" w:cs="Arial"/>
        </w:rPr>
        <w:tab/>
      </w:r>
    </w:p>
    <w:p w14:paraId="740929AA" w14:textId="7B1EB520" w:rsidR="00B301D5" w:rsidRPr="00B301D5" w:rsidRDefault="00B301D5" w:rsidP="00B301D5">
      <w:pPr>
        <w:ind w:left="708"/>
        <w:jc w:val="both"/>
        <w:rPr>
          <w:rFonts w:ascii="Arial" w:hAnsi="Arial" w:cs="Arial"/>
        </w:rPr>
      </w:pPr>
      <w:r w:rsidRPr="00B301D5">
        <w:rPr>
          <w:rFonts w:ascii="Arial" w:hAnsi="Arial" w:cs="Arial"/>
        </w:rPr>
        <w:t>Konkrétně v roce 2024 bylo podáno celkem 58 738 žádostí o starobní důchod, z toho bylo 10 786 zamítnuto. Podíl zamítnutých žádostí představoval 18,36 %. Samotný počet zamítnutí se příliš neliší oproti předchozím rokům, poměr zamítnutí se ale výrazně zvýšil na více než dvojnásobek.</w:t>
      </w:r>
    </w:p>
    <w:p w14:paraId="1FCF20C6" w14:textId="7312DA55" w:rsidR="00B301D5" w:rsidRPr="00B301D5" w:rsidRDefault="00B301D5" w:rsidP="00B301D5">
      <w:pPr>
        <w:jc w:val="both"/>
        <w:rPr>
          <w:rFonts w:ascii="Arial" w:hAnsi="Arial" w:cs="Arial"/>
          <w:b/>
          <w:bCs/>
        </w:rPr>
      </w:pPr>
    </w:p>
    <w:p w14:paraId="0B0885DC" w14:textId="354EF0A8" w:rsidR="00B301D5" w:rsidRPr="00B301D5" w:rsidRDefault="00B301D5" w:rsidP="00B301D5">
      <w:pPr>
        <w:ind w:left="708"/>
        <w:jc w:val="both"/>
        <w:rPr>
          <w:rFonts w:ascii="Arial" w:hAnsi="Arial" w:cs="Arial"/>
        </w:rPr>
      </w:pPr>
      <w:r w:rsidRPr="00B301D5">
        <w:rPr>
          <w:rFonts w:ascii="Arial" w:hAnsi="Arial" w:cs="Arial"/>
        </w:rPr>
        <w:t>Podle ČSSZ je nejčastějším důvodem pro zamítnutí starobního důchodu nesplnění podmínky minimální doby důchodového pojištění. Výjimečné jsou pak jiné důvody, třeba to, že žadatel ještě nedosáhl potřebného věku pro přiznání důchodu.</w:t>
      </w:r>
    </w:p>
    <w:p w14:paraId="30732796" w14:textId="77777777" w:rsidR="00B301D5" w:rsidRPr="00B301D5" w:rsidRDefault="00B301D5" w:rsidP="00B301D5">
      <w:pPr>
        <w:ind w:left="708"/>
        <w:jc w:val="both"/>
        <w:rPr>
          <w:rFonts w:ascii="Arial" w:hAnsi="Arial" w:cs="Arial"/>
        </w:rPr>
      </w:pPr>
    </w:p>
    <w:p w14:paraId="6103EC96" w14:textId="4CC27511" w:rsidR="00B301D5" w:rsidRPr="00B301D5" w:rsidRDefault="00B301D5" w:rsidP="00B301D5">
      <w:pPr>
        <w:ind w:left="708"/>
        <w:jc w:val="both"/>
        <w:rPr>
          <w:rFonts w:ascii="Arial" w:hAnsi="Arial" w:cs="Arial"/>
        </w:rPr>
      </w:pPr>
      <w:r w:rsidRPr="00B301D5">
        <w:rPr>
          <w:rFonts w:ascii="Arial" w:hAnsi="Arial" w:cs="Arial"/>
        </w:rPr>
        <w:t>V současné době nelze jednoznačně říct, jestli rok 2024 ukazuje významné zhoršení, nebo jde pouze o jednorázový výkyv. Právě od roku 2024 se ale výrazně zpřísnila hranice minimální doby pojištění pro získání předčasného důchodu, místo dosavadních 35 let je nutné získat 40 let pojištění. Zrušila se také alternativní podmínka, kdy při nezapočítání náhradních dob stačilo získat o 5 let méně.</w:t>
      </w:r>
    </w:p>
    <w:p w14:paraId="5B11E344" w14:textId="77777777" w:rsidR="00B301D5" w:rsidRPr="00B301D5" w:rsidRDefault="00B301D5" w:rsidP="00B301D5">
      <w:pPr>
        <w:ind w:left="708"/>
        <w:jc w:val="both"/>
        <w:rPr>
          <w:rFonts w:ascii="Arial" w:hAnsi="Arial" w:cs="Arial"/>
        </w:rPr>
      </w:pPr>
    </w:p>
    <w:p w14:paraId="6E982203" w14:textId="158C9682" w:rsidR="00B301D5" w:rsidRPr="00B301D5" w:rsidRDefault="00B301D5" w:rsidP="00B301D5">
      <w:pPr>
        <w:ind w:left="708"/>
        <w:jc w:val="both"/>
        <w:rPr>
          <w:rFonts w:ascii="Arial" w:hAnsi="Arial" w:cs="Arial"/>
        </w:rPr>
      </w:pPr>
      <w:r w:rsidRPr="00B301D5">
        <w:rPr>
          <w:rFonts w:ascii="Arial" w:hAnsi="Arial" w:cs="Arial"/>
        </w:rPr>
        <w:t xml:space="preserve">U běžného řádného důchodu stále zůstává podmínka na 35 letech (případně 30 let bez započítání náhradních dob), přesto jde o jednu z nejvyšších minimálních dob pojištění v rámci Evropy i zemí OECD. Jako velmi přísnou podmínku </w:t>
      </w:r>
      <w:r w:rsidR="00D01B48">
        <w:rPr>
          <w:rFonts w:ascii="Arial" w:hAnsi="Arial" w:cs="Arial"/>
        </w:rPr>
        <w:t xml:space="preserve">ji </w:t>
      </w:r>
      <w:r w:rsidRPr="00B301D5">
        <w:rPr>
          <w:rFonts w:ascii="Arial" w:hAnsi="Arial" w:cs="Arial"/>
        </w:rPr>
        <w:t>vyhodnotila i </w:t>
      </w:r>
      <w:hyperlink r:id="rId9" w:tgtFrame="_blank" w:history="1">
        <w:r w:rsidRPr="00B301D5">
          <w:rPr>
            <w:rStyle w:val="Hypertextovodkaz"/>
            <w:rFonts w:ascii="Arial" w:hAnsi="Arial" w:cs="Arial"/>
            <w:u w:val="none"/>
          </w:rPr>
          <w:t>analytická zpráva</w:t>
        </w:r>
      </w:hyperlink>
      <w:r w:rsidRPr="00B301D5">
        <w:rPr>
          <w:rFonts w:ascii="Arial" w:hAnsi="Arial" w:cs="Arial"/>
        </w:rPr>
        <w:t> OECD o důchodech, kterou si Česko objednalo.</w:t>
      </w:r>
    </w:p>
    <w:p w14:paraId="508A785E" w14:textId="77777777" w:rsidR="00B301D5" w:rsidRPr="00B301D5" w:rsidRDefault="00B301D5" w:rsidP="00B301D5">
      <w:pPr>
        <w:ind w:left="708"/>
        <w:jc w:val="both"/>
        <w:rPr>
          <w:rFonts w:ascii="Arial" w:hAnsi="Arial" w:cs="Arial"/>
        </w:rPr>
      </w:pPr>
    </w:p>
    <w:p w14:paraId="5FCB8DC3" w14:textId="59DD8D9D" w:rsidR="00B301D5" w:rsidRDefault="00B301D5" w:rsidP="00B301D5">
      <w:pPr>
        <w:ind w:left="708"/>
        <w:jc w:val="both"/>
        <w:rPr>
          <w:rFonts w:ascii="Arial" w:hAnsi="Arial" w:cs="Arial"/>
        </w:rPr>
      </w:pPr>
      <w:r w:rsidRPr="00B301D5">
        <w:rPr>
          <w:rFonts w:ascii="Arial" w:hAnsi="Arial" w:cs="Arial"/>
        </w:rPr>
        <w:t>Situace se zhoršuje také u invalidních důchodů, kde rovněž v posledních 5 letech roste míra zamítavých stanovisek. Zatímco počet žádostí o invalidní důchod se nijak zásadně nemění, počet zamítnutí kontinuálně roste. Patrné je to zejména z poměru mezi žádostmi a zamítnutími, který v roce 2024 dosáhl už na úroveň 45 %. To znamená, že prakticky každá druhá žádost o invalidní důchod je zamítnuta, a nejčastěji kvůli neuznání invalidity.</w:t>
      </w:r>
    </w:p>
    <w:p w14:paraId="3953AB40" w14:textId="77777777" w:rsidR="00B301D5" w:rsidRPr="00B301D5" w:rsidRDefault="00B301D5" w:rsidP="00B301D5">
      <w:pPr>
        <w:ind w:left="708"/>
        <w:jc w:val="both"/>
        <w:rPr>
          <w:rFonts w:ascii="Arial" w:hAnsi="Arial" w:cs="Arial"/>
        </w:rPr>
      </w:pPr>
    </w:p>
    <w:p w14:paraId="6ACC4F72" w14:textId="2B190983" w:rsidR="00B301D5" w:rsidRPr="00B301D5" w:rsidRDefault="00B301D5" w:rsidP="00B301D5">
      <w:pPr>
        <w:ind w:left="708"/>
        <w:jc w:val="both"/>
        <w:rPr>
          <w:rFonts w:ascii="Arial" w:hAnsi="Arial" w:cs="Arial"/>
        </w:rPr>
      </w:pPr>
      <w:r w:rsidRPr="00B301D5">
        <w:rPr>
          <w:rFonts w:ascii="Arial" w:hAnsi="Arial" w:cs="Arial"/>
        </w:rPr>
        <w:t>Ještě v roce 2020 byla míra zamítnutí na úrovni 38 % a v následujících třech letech rostla tempem zhruba 1 % ročně. Rok 2024 ale přinesl opět vyšší nárůst, podobně jako u starobních důchodů, konkrétně šlo o skok o více než 3 %. Přibližně tři čtvrtiny zamítavých stanovisek byly z důvodu nesplnění podmínky invalidity, u čtvrtiny byly důvodem chybějící doby důchodového pojištění.</w:t>
      </w:r>
    </w:p>
    <w:p w14:paraId="5F34AE57" w14:textId="3B10C937" w:rsidR="00B301D5" w:rsidRPr="00B301D5" w:rsidRDefault="00B301D5" w:rsidP="00B301D5">
      <w:pPr>
        <w:jc w:val="both"/>
        <w:rPr>
          <w:rFonts w:ascii="Arial" w:hAnsi="Arial" w:cs="Arial"/>
        </w:rPr>
      </w:pPr>
    </w:p>
    <w:p w14:paraId="7E6084A2" w14:textId="75EB6B1D" w:rsidR="00B301D5" w:rsidRPr="00B301D5" w:rsidRDefault="00B301D5" w:rsidP="00B301D5">
      <w:pPr>
        <w:jc w:val="both"/>
        <w:rPr>
          <w:rFonts w:ascii="Arial" w:hAnsi="Arial" w:cs="Arial"/>
        </w:rPr>
      </w:pPr>
      <w:r w:rsidRPr="00B301D5">
        <w:rPr>
          <w:rFonts w:ascii="Arial" w:hAnsi="Arial" w:cs="Arial"/>
        </w:rPr>
        <w:tab/>
      </w:r>
      <w:bookmarkEnd w:id="2"/>
    </w:p>
    <w:sectPr w:rsidR="00B301D5" w:rsidRPr="00B301D5" w:rsidSect="00D24486">
      <w:footerReference w:type="default" r:id="rId10"/>
      <w:pgSz w:w="11900" w:h="16840"/>
      <w:pgMar w:top="720" w:right="720" w:bottom="720" w:left="72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D1D7" w14:textId="77777777" w:rsidR="00DF6EF1" w:rsidRDefault="00DF6EF1">
      <w:r>
        <w:separator/>
      </w:r>
    </w:p>
  </w:endnote>
  <w:endnote w:type="continuationSeparator" w:id="0">
    <w:p w14:paraId="32096744" w14:textId="77777777" w:rsidR="00DF6EF1" w:rsidRDefault="00DF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970404"/>
      <w:docPartObj>
        <w:docPartGallery w:val="Page Numbers (Bottom of Page)"/>
        <w:docPartUnique/>
      </w:docPartObj>
    </w:sdtPr>
    <w:sdtEndPr/>
    <w:sdtContent>
      <w:p w14:paraId="6A1E9067" w14:textId="01D383A8" w:rsidR="00E562AB" w:rsidRDefault="00F13023">
        <w:pPr>
          <w:pStyle w:val="Zpat"/>
          <w:jc w:val="right"/>
        </w:pPr>
        <w:r>
          <w:fldChar w:fldCharType="begin"/>
        </w:r>
        <w:r w:rsidR="00E562AB">
          <w:instrText>PAGE   \* MERGEFORMAT</w:instrText>
        </w:r>
        <w:r>
          <w:fldChar w:fldCharType="separate"/>
        </w:r>
        <w:r w:rsidR="00EA1DC4">
          <w:rPr>
            <w:noProof/>
          </w:rPr>
          <w:t>3</w:t>
        </w:r>
        <w:r>
          <w:fldChar w:fldCharType="end"/>
        </w:r>
      </w:p>
    </w:sdtContent>
  </w:sdt>
  <w:p w14:paraId="3196A0C0" w14:textId="77777777" w:rsidR="00CB4810" w:rsidRDefault="00CB4810">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FBB77" w14:textId="77777777" w:rsidR="00DF6EF1" w:rsidRDefault="00DF6EF1">
      <w:r>
        <w:separator/>
      </w:r>
    </w:p>
  </w:footnote>
  <w:footnote w:type="continuationSeparator" w:id="0">
    <w:p w14:paraId="7008201F" w14:textId="77777777" w:rsidR="00DF6EF1" w:rsidRDefault="00DF6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5EF"/>
    <w:multiLevelType w:val="hybridMultilevel"/>
    <w:tmpl w:val="078AA06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895656C"/>
    <w:multiLevelType w:val="hybridMultilevel"/>
    <w:tmpl w:val="F1BE946E"/>
    <w:lvl w:ilvl="0" w:tplc="790421AA">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AD8274B"/>
    <w:multiLevelType w:val="hybridMultilevel"/>
    <w:tmpl w:val="360CBECC"/>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E5163F0"/>
    <w:multiLevelType w:val="hybridMultilevel"/>
    <w:tmpl w:val="7B6C586C"/>
    <w:lvl w:ilvl="0" w:tplc="ACD05C4C">
      <w:start w:val="1"/>
      <w:numFmt w:val="bullet"/>
      <w:lvlText w:val="•"/>
      <w:lvlJc w:val="left"/>
      <w:pPr>
        <w:tabs>
          <w:tab w:val="num" w:pos="720"/>
        </w:tabs>
        <w:ind w:left="720" w:hanging="360"/>
      </w:pPr>
      <w:rPr>
        <w:rFonts w:ascii="Arial" w:hAnsi="Arial" w:hint="default"/>
      </w:rPr>
    </w:lvl>
    <w:lvl w:ilvl="1" w:tplc="62D4BA52" w:tentative="1">
      <w:start w:val="1"/>
      <w:numFmt w:val="bullet"/>
      <w:lvlText w:val="•"/>
      <w:lvlJc w:val="left"/>
      <w:pPr>
        <w:tabs>
          <w:tab w:val="num" w:pos="1440"/>
        </w:tabs>
        <w:ind w:left="1440" w:hanging="360"/>
      </w:pPr>
      <w:rPr>
        <w:rFonts w:ascii="Arial" w:hAnsi="Arial" w:hint="default"/>
      </w:rPr>
    </w:lvl>
    <w:lvl w:ilvl="2" w:tplc="7C58DDBA" w:tentative="1">
      <w:start w:val="1"/>
      <w:numFmt w:val="bullet"/>
      <w:lvlText w:val="•"/>
      <w:lvlJc w:val="left"/>
      <w:pPr>
        <w:tabs>
          <w:tab w:val="num" w:pos="2160"/>
        </w:tabs>
        <w:ind w:left="2160" w:hanging="360"/>
      </w:pPr>
      <w:rPr>
        <w:rFonts w:ascii="Arial" w:hAnsi="Arial" w:hint="default"/>
      </w:rPr>
    </w:lvl>
    <w:lvl w:ilvl="3" w:tplc="C0C606F4" w:tentative="1">
      <w:start w:val="1"/>
      <w:numFmt w:val="bullet"/>
      <w:lvlText w:val="•"/>
      <w:lvlJc w:val="left"/>
      <w:pPr>
        <w:tabs>
          <w:tab w:val="num" w:pos="2880"/>
        </w:tabs>
        <w:ind w:left="2880" w:hanging="360"/>
      </w:pPr>
      <w:rPr>
        <w:rFonts w:ascii="Arial" w:hAnsi="Arial" w:hint="default"/>
      </w:rPr>
    </w:lvl>
    <w:lvl w:ilvl="4" w:tplc="096E1CA6" w:tentative="1">
      <w:start w:val="1"/>
      <w:numFmt w:val="bullet"/>
      <w:lvlText w:val="•"/>
      <w:lvlJc w:val="left"/>
      <w:pPr>
        <w:tabs>
          <w:tab w:val="num" w:pos="3600"/>
        </w:tabs>
        <w:ind w:left="3600" w:hanging="360"/>
      </w:pPr>
      <w:rPr>
        <w:rFonts w:ascii="Arial" w:hAnsi="Arial" w:hint="default"/>
      </w:rPr>
    </w:lvl>
    <w:lvl w:ilvl="5" w:tplc="789ED22C" w:tentative="1">
      <w:start w:val="1"/>
      <w:numFmt w:val="bullet"/>
      <w:lvlText w:val="•"/>
      <w:lvlJc w:val="left"/>
      <w:pPr>
        <w:tabs>
          <w:tab w:val="num" w:pos="4320"/>
        </w:tabs>
        <w:ind w:left="4320" w:hanging="360"/>
      </w:pPr>
      <w:rPr>
        <w:rFonts w:ascii="Arial" w:hAnsi="Arial" w:hint="default"/>
      </w:rPr>
    </w:lvl>
    <w:lvl w:ilvl="6" w:tplc="6CFA2350" w:tentative="1">
      <w:start w:val="1"/>
      <w:numFmt w:val="bullet"/>
      <w:lvlText w:val="•"/>
      <w:lvlJc w:val="left"/>
      <w:pPr>
        <w:tabs>
          <w:tab w:val="num" w:pos="5040"/>
        </w:tabs>
        <w:ind w:left="5040" w:hanging="360"/>
      </w:pPr>
      <w:rPr>
        <w:rFonts w:ascii="Arial" w:hAnsi="Arial" w:hint="default"/>
      </w:rPr>
    </w:lvl>
    <w:lvl w:ilvl="7" w:tplc="113A45A8" w:tentative="1">
      <w:start w:val="1"/>
      <w:numFmt w:val="bullet"/>
      <w:lvlText w:val="•"/>
      <w:lvlJc w:val="left"/>
      <w:pPr>
        <w:tabs>
          <w:tab w:val="num" w:pos="5760"/>
        </w:tabs>
        <w:ind w:left="5760" w:hanging="360"/>
      </w:pPr>
      <w:rPr>
        <w:rFonts w:ascii="Arial" w:hAnsi="Arial" w:hint="default"/>
      </w:rPr>
    </w:lvl>
    <w:lvl w:ilvl="8" w:tplc="CC3464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F54A0C"/>
    <w:multiLevelType w:val="hybridMultilevel"/>
    <w:tmpl w:val="4B767AD8"/>
    <w:lvl w:ilvl="0" w:tplc="DA78CE2E">
      <w:numFmt w:val="bullet"/>
      <w:lvlText w:val="-"/>
      <w:lvlJc w:val="left"/>
      <w:pPr>
        <w:ind w:left="1065" w:hanging="360"/>
      </w:pPr>
      <w:rPr>
        <w:rFonts w:ascii="Arial" w:eastAsia="Arial Unicode MS"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139E5567"/>
    <w:multiLevelType w:val="hybridMultilevel"/>
    <w:tmpl w:val="3DBCB40A"/>
    <w:lvl w:ilvl="0" w:tplc="9A66B1A8">
      <w:start w:val="1"/>
      <w:numFmt w:val="bullet"/>
      <w:lvlText w:val="•"/>
      <w:lvlJc w:val="left"/>
      <w:pPr>
        <w:tabs>
          <w:tab w:val="num" w:pos="720"/>
        </w:tabs>
        <w:ind w:left="720" w:hanging="360"/>
      </w:pPr>
      <w:rPr>
        <w:rFonts w:ascii="Arial" w:hAnsi="Arial" w:hint="default"/>
      </w:rPr>
    </w:lvl>
    <w:lvl w:ilvl="1" w:tplc="060E9902" w:tentative="1">
      <w:start w:val="1"/>
      <w:numFmt w:val="bullet"/>
      <w:lvlText w:val="•"/>
      <w:lvlJc w:val="left"/>
      <w:pPr>
        <w:tabs>
          <w:tab w:val="num" w:pos="1440"/>
        </w:tabs>
        <w:ind w:left="1440" w:hanging="360"/>
      </w:pPr>
      <w:rPr>
        <w:rFonts w:ascii="Arial" w:hAnsi="Arial" w:hint="default"/>
      </w:rPr>
    </w:lvl>
    <w:lvl w:ilvl="2" w:tplc="470CF636" w:tentative="1">
      <w:start w:val="1"/>
      <w:numFmt w:val="bullet"/>
      <w:lvlText w:val="•"/>
      <w:lvlJc w:val="left"/>
      <w:pPr>
        <w:tabs>
          <w:tab w:val="num" w:pos="2160"/>
        </w:tabs>
        <w:ind w:left="2160" w:hanging="360"/>
      </w:pPr>
      <w:rPr>
        <w:rFonts w:ascii="Arial" w:hAnsi="Arial" w:hint="default"/>
      </w:rPr>
    </w:lvl>
    <w:lvl w:ilvl="3" w:tplc="319C8516" w:tentative="1">
      <w:start w:val="1"/>
      <w:numFmt w:val="bullet"/>
      <w:lvlText w:val="•"/>
      <w:lvlJc w:val="left"/>
      <w:pPr>
        <w:tabs>
          <w:tab w:val="num" w:pos="2880"/>
        </w:tabs>
        <w:ind w:left="2880" w:hanging="360"/>
      </w:pPr>
      <w:rPr>
        <w:rFonts w:ascii="Arial" w:hAnsi="Arial" w:hint="default"/>
      </w:rPr>
    </w:lvl>
    <w:lvl w:ilvl="4" w:tplc="46A0CDC6" w:tentative="1">
      <w:start w:val="1"/>
      <w:numFmt w:val="bullet"/>
      <w:lvlText w:val="•"/>
      <w:lvlJc w:val="left"/>
      <w:pPr>
        <w:tabs>
          <w:tab w:val="num" w:pos="3600"/>
        </w:tabs>
        <w:ind w:left="3600" w:hanging="360"/>
      </w:pPr>
      <w:rPr>
        <w:rFonts w:ascii="Arial" w:hAnsi="Arial" w:hint="default"/>
      </w:rPr>
    </w:lvl>
    <w:lvl w:ilvl="5" w:tplc="C6645D0C" w:tentative="1">
      <w:start w:val="1"/>
      <w:numFmt w:val="bullet"/>
      <w:lvlText w:val="•"/>
      <w:lvlJc w:val="left"/>
      <w:pPr>
        <w:tabs>
          <w:tab w:val="num" w:pos="4320"/>
        </w:tabs>
        <w:ind w:left="4320" w:hanging="360"/>
      </w:pPr>
      <w:rPr>
        <w:rFonts w:ascii="Arial" w:hAnsi="Arial" w:hint="default"/>
      </w:rPr>
    </w:lvl>
    <w:lvl w:ilvl="6" w:tplc="2B187E3A" w:tentative="1">
      <w:start w:val="1"/>
      <w:numFmt w:val="bullet"/>
      <w:lvlText w:val="•"/>
      <w:lvlJc w:val="left"/>
      <w:pPr>
        <w:tabs>
          <w:tab w:val="num" w:pos="5040"/>
        </w:tabs>
        <w:ind w:left="5040" w:hanging="360"/>
      </w:pPr>
      <w:rPr>
        <w:rFonts w:ascii="Arial" w:hAnsi="Arial" w:hint="default"/>
      </w:rPr>
    </w:lvl>
    <w:lvl w:ilvl="7" w:tplc="E3A4A434" w:tentative="1">
      <w:start w:val="1"/>
      <w:numFmt w:val="bullet"/>
      <w:lvlText w:val="•"/>
      <w:lvlJc w:val="left"/>
      <w:pPr>
        <w:tabs>
          <w:tab w:val="num" w:pos="5760"/>
        </w:tabs>
        <w:ind w:left="5760" w:hanging="360"/>
      </w:pPr>
      <w:rPr>
        <w:rFonts w:ascii="Arial" w:hAnsi="Arial" w:hint="default"/>
      </w:rPr>
    </w:lvl>
    <w:lvl w:ilvl="8" w:tplc="D6F032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3F4ED4"/>
    <w:multiLevelType w:val="hybridMultilevel"/>
    <w:tmpl w:val="B64403F8"/>
    <w:lvl w:ilvl="0" w:tplc="B2E0B42E">
      <w:start w:val="1"/>
      <w:numFmt w:val="decimal"/>
      <w:lvlText w:val="%1."/>
      <w:lvlJc w:val="left"/>
      <w:pPr>
        <w:ind w:left="1068" w:hanging="360"/>
      </w:pPr>
      <w:rPr>
        <w:rFonts w:ascii="Arial" w:eastAsia="Times New Roman" w:hAnsi="Arial" w:cstheme="minorBid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DEA5D81"/>
    <w:multiLevelType w:val="hybridMultilevel"/>
    <w:tmpl w:val="D81AFB9C"/>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52B1FF4"/>
    <w:multiLevelType w:val="hybridMultilevel"/>
    <w:tmpl w:val="28B2BDE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253B0060"/>
    <w:multiLevelType w:val="hybridMultilevel"/>
    <w:tmpl w:val="3E6C0A5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C2F3BFE"/>
    <w:multiLevelType w:val="hybridMultilevel"/>
    <w:tmpl w:val="A1FCDF26"/>
    <w:lvl w:ilvl="0" w:tplc="5122007C">
      <w:start w:val="1"/>
      <w:numFmt w:val="bullet"/>
      <w:lvlText w:val="•"/>
      <w:lvlJc w:val="left"/>
      <w:pPr>
        <w:tabs>
          <w:tab w:val="num" w:pos="720"/>
        </w:tabs>
        <w:ind w:left="720" w:hanging="360"/>
      </w:pPr>
      <w:rPr>
        <w:rFonts w:ascii="Arial" w:hAnsi="Arial" w:hint="default"/>
      </w:rPr>
    </w:lvl>
    <w:lvl w:ilvl="1" w:tplc="F452AD5C" w:tentative="1">
      <w:start w:val="1"/>
      <w:numFmt w:val="bullet"/>
      <w:lvlText w:val="•"/>
      <w:lvlJc w:val="left"/>
      <w:pPr>
        <w:tabs>
          <w:tab w:val="num" w:pos="1440"/>
        </w:tabs>
        <w:ind w:left="1440" w:hanging="360"/>
      </w:pPr>
      <w:rPr>
        <w:rFonts w:ascii="Arial" w:hAnsi="Arial" w:hint="default"/>
      </w:rPr>
    </w:lvl>
    <w:lvl w:ilvl="2" w:tplc="30C0AAD6" w:tentative="1">
      <w:start w:val="1"/>
      <w:numFmt w:val="bullet"/>
      <w:lvlText w:val="•"/>
      <w:lvlJc w:val="left"/>
      <w:pPr>
        <w:tabs>
          <w:tab w:val="num" w:pos="2160"/>
        </w:tabs>
        <w:ind w:left="2160" w:hanging="360"/>
      </w:pPr>
      <w:rPr>
        <w:rFonts w:ascii="Arial" w:hAnsi="Arial" w:hint="default"/>
      </w:rPr>
    </w:lvl>
    <w:lvl w:ilvl="3" w:tplc="45BE1996" w:tentative="1">
      <w:start w:val="1"/>
      <w:numFmt w:val="bullet"/>
      <w:lvlText w:val="•"/>
      <w:lvlJc w:val="left"/>
      <w:pPr>
        <w:tabs>
          <w:tab w:val="num" w:pos="2880"/>
        </w:tabs>
        <w:ind w:left="2880" w:hanging="360"/>
      </w:pPr>
      <w:rPr>
        <w:rFonts w:ascii="Arial" w:hAnsi="Arial" w:hint="default"/>
      </w:rPr>
    </w:lvl>
    <w:lvl w:ilvl="4" w:tplc="E3D619C2" w:tentative="1">
      <w:start w:val="1"/>
      <w:numFmt w:val="bullet"/>
      <w:lvlText w:val="•"/>
      <w:lvlJc w:val="left"/>
      <w:pPr>
        <w:tabs>
          <w:tab w:val="num" w:pos="3600"/>
        </w:tabs>
        <w:ind w:left="3600" w:hanging="360"/>
      </w:pPr>
      <w:rPr>
        <w:rFonts w:ascii="Arial" w:hAnsi="Arial" w:hint="default"/>
      </w:rPr>
    </w:lvl>
    <w:lvl w:ilvl="5" w:tplc="A982593E" w:tentative="1">
      <w:start w:val="1"/>
      <w:numFmt w:val="bullet"/>
      <w:lvlText w:val="•"/>
      <w:lvlJc w:val="left"/>
      <w:pPr>
        <w:tabs>
          <w:tab w:val="num" w:pos="4320"/>
        </w:tabs>
        <w:ind w:left="4320" w:hanging="360"/>
      </w:pPr>
      <w:rPr>
        <w:rFonts w:ascii="Arial" w:hAnsi="Arial" w:hint="default"/>
      </w:rPr>
    </w:lvl>
    <w:lvl w:ilvl="6" w:tplc="08307218" w:tentative="1">
      <w:start w:val="1"/>
      <w:numFmt w:val="bullet"/>
      <w:lvlText w:val="•"/>
      <w:lvlJc w:val="left"/>
      <w:pPr>
        <w:tabs>
          <w:tab w:val="num" w:pos="5040"/>
        </w:tabs>
        <w:ind w:left="5040" w:hanging="360"/>
      </w:pPr>
      <w:rPr>
        <w:rFonts w:ascii="Arial" w:hAnsi="Arial" w:hint="default"/>
      </w:rPr>
    </w:lvl>
    <w:lvl w:ilvl="7" w:tplc="A794555E" w:tentative="1">
      <w:start w:val="1"/>
      <w:numFmt w:val="bullet"/>
      <w:lvlText w:val="•"/>
      <w:lvlJc w:val="left"/>
      <w:pPr>
        <w:tabs>
          <w:tab w:val="num" w:pos="5760"/>
        </w:tabs>
        <w:ind w:left="5760" w:hanging="360"/>
      </w:pPr>
      <w:rPr>
        <w:rFonts w:ascii="Arial" w:hAnsi="Arial" w:hint="default"/>
      </w:rPr>
    </w:lvl>
    <w:lvl w:ilvl="8" w:tplc="5A9C88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FD609E"/>
    <w:multiLevelType w:val="hybridMultilevel"/>
    <w:tmpl w:val="00786B34"/>
    <w:lvl w:ilvl="0" w:tplc="032298C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36813802"/>
    <w:multiLevelType w:val="hybridMultilevel"/>
    <w:tmpl w:val="4E86F3A8"/>
    <w:lvl w:ilvl="0" w:tplc="3F24A17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3FC4D97"/>
    <w:multiLevelType w:val="hybridMultilevel"/>
    <w:tmpl w:val="4A4E0FFA"/>
    <w:lvl w:ilvl="0" w:tplc="7994BD30">
      <w:start w:val="1"/>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4651F5E"/>
    <w:multiLevelType w:val="hybridMultilevel"/>
    <w:tmpl w:val="4030FEC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822774D"/>
    <w:multiLevelType w:val="hybridMultilevel"/>
    <w:tmpl w:val="22D494F4"/>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4C396D27"/>
    <w:multiLevelType w:val="hybridMultilevel"/>
    <w:tmpl w:val="72E6474A"/>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54A47191"/>
    <w:multiLevelType w:val="hybridMultilevel"/>
    <w:tmpl w:val="37D2CA42"/>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A401739"/>
    <w:multiLevelType w:val="hybridMultilevel"/>
    <w:tmpl w:val="5A9C7B4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E815496"/>
    <w:multiLevelType w:val="hybridMultilevel"/>
    <w:tmpl w:val="B64403F8"/>
    <w:lvl w:ilvl="0" w:tplc="B2E0B42E">
      <w:start w:val="1"/>
      <w:numFmt w:val="decimal"/>
      <w:lvlText w:val="%1."/>
      <w:lvlJc w:val="left"/>
      <w:pPr>
        <w:ind w:left="1068" w:hanging="360"/>
      </w:pPr>
      <w:rPr>
        <w:rFonts w:ascii="Arial" w:eastAsia="Times New Roman" w:hAnsi="Arial" w:cstheme="minorBid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602A6536"/>
    <w:multiLevelType w:val="hybridMultilevel"/>
    <w:tmpl w:val="47BEDA0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61512E6B"/>
    <w:multiLevelType w:val="hybridMultilevel"/>
    <w:tmpl w:val="1898E3D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68A12853"/>
    <w:multiLevelType w:val="hybridMultilevel"/>
    <w:tmpl w:val="1D385F80"/>
    <w:lvl w:ilvl="0" w:tplc="A1025C0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75CF5374"/>
    <w:multiLevelType w:val="hybridMultilevel"/>
    <w:tmpl w:val="B060C4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C1747B0"/>
    <w:multiLevelType w:val="hybridMultilevel"/>
    <w:tmpl w:val="DB1AF68A"/>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7D975227"/>
    <w:multiLevelType w:val="hybridMultilevel"/>
    <w:tmpl w:val="F3D2577E"/>
    <w:lvl w:ilvl="0" w:tplc="6538AD90">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0"/>
  </w:num>
  <w:num w:numId="2">
    <w:abstractNumId w:val="23"/>
  </w:num>
  <w:num w:numId="3">
    <w:abstractNumId w:val="9"/>
  </w:num>
  <w:num w:numId="4">
    <w:abstractNumId w:val="16"/>
  </w:num>
  <w:num w:numId="5">
    <w:abstractNumId w:val="2"/>
  </w:num>
  <w:num w:numId="6">
    <w:abstractNumId w:val="14"/>
  </w:num>
  <w:num w:numId="7">
    <w:abstractNumId w:val="24"/>
  </w:num>
  <w:num w:numId="8">
    <w:abstractNumId w:val="8"/>
  </w:num>
  <w:num w:numId="9">
    <w:abstractNumId w:val="17"/>
  </w:num>
  <w:num w:numId="10">
    <w:abstractNumId w:val="1"/>
  </w:num>
  <w:num w:numId="11">
    <w:abstractNumId w:val="13"/>
  </w:num>
  <w:num w:numId="12">
    <w:abstractNumId w:val="21"/>
  </w:num>
  <w:num w:numId="13">
    <w:abstractNumId w:val="18"/>
  </w:num>
  <w:num w:numId="14">
    <w:abstractNumId w:val="4"/>
  </w:num>
  <w:num w:numId="15">
    <w:abstractNumId w:val="25"/>
  </w:num>
  <w:num w:numId="16">
    <w:abstractNumId w:val="22"/>
  </w:num>
  <w:num w:numId="17">
    <w:abstractNumId w:val="12"/>
  </w:num>
  <w:num w:numId="18">
    <w:abstractNumId w:val="20"/>
  </w:num>
  <w:num w:numId="19">
    <w:abstractNumId w:val="11"/>
  </w:num>
  <w:num w:numId="20">
    <w:abstractNumId w:val="19"/>
  </w:num>
  <w:num w:numId="21">
    <w:abstractNumId w:val="7"/>
  </w:num>
  <w:num w:numId="22">
    <w:abstractNumId w:val="6"/>
  </w:num>
  <w:num w:numId="23">
    <w:abstractNumId w:val="15"/>
  </w:num>
  <w:num w:numId="24">
    <w:abstractNumId w:val="3"/>
  </w:num>
  <w:num w:numId="25">
    <w:abstractNumId w:val="5"/>
  </w:num>
  <w:num w:numId="2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10"/>
    <w:rsid w:val="0000027B"/>
    <w:rsid w:val="0000120D"/>
    <w:rsid w:val="000012C3"/>
    <w:rsid w:val="000013C2"/>
    <w:rsid w:val="000026AC"/>
    <w:rsid w:val="00005B14"/>
    <w:rsid w:val="00006264"/>
    <w:rsid w:val="000111DA"/>
    <w:rsid w:val="000138BB"/>
    <w:rsid w:val="0001648C"/>
    <w:rsid w:val="00017971"/>
    <w:rsid w:val="00020DC3"/>
    <w:rsid w:val="000243A8"/>
    <w:rsid w:val="00025110"/>
    <w:rsid w:val="00025EC3"/>
    <w:rsid w:val="000279FA"/>
    <w:rsid w:val="0003190B"/>
    <w:rsid w:val="000319F6"/>
    <w:rsid w:val="00032975"/>
    <w:rsid w:val="0003427C"/>
    <w:rsid w:val="0003591D"/>
    <w:rsid w:val="00037A9F"/>
    <w:rsid w:val="000404BF"/>
    <w:rsid w:val="00041435"/>
    <w:rsid w:val="00042719"/>
    <w:rsid w:val="00045CEB"/>
    <w:rsid w:val="0004779F"/>
    <w:rsid w:val="000522D2"/>
    <w:rsid w:val="00053886"/>
    <w:rsid w:val="00056112"/>
    <w:rsid w:val="00056DFD"/>
    <w:rsid w:val="000607BD"/>
    <w:rsid w:val="0006252E"/>
    <w:rsid w:val="00065F29"/>
    <w:rsid w:val="00066395"/>
    <w:rsid w:val="00067944"/>
    <w:rsid w:val="0007144B"/>
    <w:rsid w:val="00074720"/>
    <w:rsid w:val="000754B6"/>
    <w:rsid w:val="00080F82"/>
    <w:rsid w:val="000819DA"/>
    <w:rsid w:val="000827A4"/>
    <w:rsid w:val="00085021"/>
    <w:rsid w:val="00085DC8"/>
    <w:rsid w:val="00091D2C"/>
    <w:rsid w:val="000934F2"/>
    <w:rsid w:val="000935E6"/>
    <w:rsid w:val="00093C8B"/>
    <w:rsid w:val="00095445"/>
    <w:rsid w:val="000959A8"/>
    <w:rsid w:val="00096FAC"/>
    <w:rsid w:val="000970AD"/>
    <w:rsid w:val="000A0EAF"/>
    <w:rsid w:val="000A2C69"/>
    <w:rsid w:val="000A2E3F"/>
    <w:rsid w:val="000A7A6C"/>
    <w:rsid w:val="000B042C"/>
    <w:rsid w:val="000B2E0D"/>
    <w:rsid w:val="000B44E4"/>
    <w:rsid w:val="000B4691"/>
    <w:rsid w:val="000B6C38"/>
    <w:rsid w:val="000C1D84"/>
    <w:rsid w:val="000C228D"/>
    <w:rsid w:val="000C2E52"/>
    <w:rsid w:val="000C45C4"/>
    <w:rsid w:val="000C4877"/>
    <w:rsid w:val="000C6E43"/>
    <w:rsid w:val="000C79A0"/>
    <w:rsid w:val="000D3D23"/>
    <w:rsid w:val="000D455C"/>
    <w:rsid w:val="000D5B95"/>
    <w:rsid w:val="000D6A28"/>
    <w:rsid w:val="000E0D8B"/>
    <w:rsid w:val="000E1F14"/>
    <w:rsid w:val="000E214F"/>
    <w:rsid w:val="000E338C"/>
    <w:rsid w:val="000E42DF"/>
    <w:rsid w:val="000E5938"/>
    <w:rsid w:val="000E6CC8"/>
    <w:rsid w:val="000F029F"/>
    <w:rsid w:val="000F0BE7"/>
    <w:rsid w:val="000F0DA0"/>
    <w:rsid w:val="000F0DE4"/>
    <w:rsid w:val="000F17E3"/>
    <w:rsid w:val="000F19A7"/>
    <w:rsid w:val="000F2B04"/>
    <w:rsid w:val="000F305B"/>
    <w:rsid w:val="000F4D58"/>
    <w:rsid w:val="000F566A"/>
    <w:rsid w:val="000F7813"/>
    <w:rsid w:val="000F7986"/>
    <w:rsid w:val="00101097"/>
    <w:rsid w:val="001015B1"/>
    <w:rsid w:val="00101EB0"/>
    <w:rsid w:val="00106EA6"/>
    <w:rsid w:val="001077A8"/>
    <w:rsid w:val="00107815"/>
    <w:rsid w:val="0010792E"/>
    <w:rsid w:val="00113919"/>
    <w:rsid w:val="0011530B"/>
    <w:rsid w:val="001160F7"/>
    <w:rsid w:val="0011650D"/>
    <w:rsid w:val="001177EB"/>
    <w:rsid w:val="00120B0D"/>
    <w:rsid w:val="00120E10"/>
    <w:rsid w:val="00121D1B"/>
    <w:rsid w:val="00123149"/>
    <w:rsid w:val="00123BB9"/>
    <w:rsid w:val="00130AEC"/>
    <w:rsid w:val="0013507B"/>
    <w:rsid w:val="00143B34"/>
    <w:rsid w:val="001441FE"/>
    <w:rsid w:val="001478A4"/>
    <w:rsid w:val="001511F0"/>
    <w:rsid w:val="0015186C"/>
    <w:rsid w:val="001534DD"/>
    <w:rsid w:val="00157798"/>
    <w:rsid w:val="00157CBC"/>
    <w:rsid w:val="00161443"/>
    <w:rsid w:val="00163668"/>
    <w:rsid w:val="00163988"/>
    <w:rsid w:val="00164C53"/>
    <w:rsid w:val="00165D7B"/>
    <w:rsid w:val="00170539"/>
    <w:rsid w:val="0017161D"/>
    <w:rsid w:val="00177D0E"/>
    <w:rsid w:val="00177F11"/>
    <w:rsid w:val="00180CDB"/>
    <w:rsid w:val="0018360A"/>
    <w:rsid w:val="00186F2E"/>
    <w:rsid w:val="00190642"/>
    <w:rsid w:val="001917DB"/>
    <w:rsid w:val="001950BE"/>
    <w:rsid w:val="001957AA"/>
    <w:rsid w:val="001A0CA9"/>
    <w:rsid w:val="001A13E8"/>
    <w:rsid w:val="001A2715"/>
    <w:rsid w:val="001A325D"/>
    <w:rsid w:val="001A5451"/>
    <w:rsid w:val="001A7E28"/>
    <w:rsid w:val="001B211F"/>
    <w:rsid w:val="001B331E"/>
    <w:rsid w:val="001B380C"/>
    <w:rsid w:val="001B3F44"/>
    <w:rsid w:val="001B43B2"/>
    <w:rsid w:val="001B44C3"/>
    <w:rsid w:val="001B5562"/>
    <w:rsid w:val="001B78F2"/>
    <w:rsid w:val="001B7DFE"/>
    <w:rsid w:val="001C0417"/>
    <w:rsid w:val="001C5BC4"/>
    <w:rsid w:val="001C6675"/>
    <w:rsid w:val="001D0199"/>
    <w:rsid w:val="001D09DC"/>
    <w:rsid w:val="001D10B4"/>
    <w:rsid w:val="001D1D42"/>
    <w:rsid w:val="001D4B7F"/>
    <w:rsid w:val="001E240E"/>
    <w:rsid w:val="001E3D5C"/>
    <w:rsid w:val="001E4116"/>
    <w:rsid w:val="001F059F"/>
    <w:rsid w:val="001F14CA"/>
    <w:rsid w:val="001F26ED"/>
    <w:rsid w:val="001F4519"/>
    <w:rsid w:val="001F4A6F"/>
    <w:rsid w:val="001F4B21"/>
    <w:rsid w:val="001F575E"/>
    <w:rsid w:val="00205F99"/>
    <w:rsid w:val="00211790"/>
    <w:rsid w:val="00214997"/>
    <w:rsid w:val="0021681C"/>
    <w:rsid w:val="002169DA"/>
    <w:rsid w:val="002201D0"/>
    <w:rsid w:val="002219AD"/>
    <w:rsid w:val="00231CEB"/>
    <w:rsid w:val="00231F44"/>
    <w:rsid w:val="00232D3B"/>
    <w:rsid w:val="00234197"/>
    <w:rsid w:val="002363FA"/>
    <w:rsid w:val="002370DF"/>
    <w:rsid w:val="00240784"/>
    <w:rsid w:val="00242182"/>
    <w:rsid w:val="0024239F"/>
    <w:rsid w:val="002425CF"/>
    <w:rsid w:val="002432A9"/>
    <w:rsid w:val="00243E40"/>
    <w:rsid w:val="00246C6D"/>
    <w:rsid w:val="00250B95"/>
    <w:rsid w:val="00251260"/>
    <w:rsid w:val="00254046"/>
    <w:rsid w:val="002568EC"/>
    <w:rsid w:val="00261E34"/>
    <w:rsid w:val="00265368"/>
    <w:rsid w:val="00267329"/>
    <w:rsid w:val="00273633"/>
    <w:rsid w:val="00274D18"/>
    <w:rsid w:val="00275D61"/>
    <w:rsid w:val="00281174"/>
    <w:rsid w:val="002852DE"/>
    <w:rsid w:val="0028537A"/>
    <w:rsid w:val="0028659D"/>
    <w:rsid w:val="00291063"/>
    <w:rsid w:val="00291437"/>
    <w:rsid w:val="002942CE"/>
    <w:rsid w:val="00294E12"/>
    <w:rsid w:val="00297085"/>
    <w:rsid w:val="002A0C37"/>
    <w:rsid w:val="002A4257"/>
    <w:rsid w:val="002A4FDB"/>
    <w:rsid w:val="002A5424"/>
    <w:rsid w:val="002A6EC2"/>
    <w:rsid w:val="002B0F36"/>
    <w:rsid w:val="002B18F0"/>
    <w:rsid w:val="002B2AAB"/>
    <w:rsid w:val="002B7936"/>
    <w:rsid w:val="002C1059"/>
    <w:rsid w:val="002C1876"/>
    <w:rsid w:val="002C3659"/>
    <w:rsid w:val="002D1D3A"/>
    <w:rsid w:val="002D6B1B"/>
    <w:rsid w:val="002E2D79"/>
    <w:rsid w:val="002E35BD"/>
    <w:rsid w:val="002E3A45"/>
    <w:rsid w:val="002E3ABD"/>
    <w:rsid w:val="002E51DF"/>
    <w:rsid w:val="002E588F"/>
    <w:rsid w:val="002E6014"/>
    <w:rsid w:val="002E60FE"/>
    <w:rsid w:val="002E6A01"/>
    <w:rsid w:val="002E6AEF"/>
    <w:rsid w:val="002F0DAA"/>
    <w:rsid w:val="002F2DA2"/>
    <w:rsid w:val="002F615D"/>
    <w:rsid w:val="00304335"/>
    <w:rsid w:val="003043DD"/>
    <w:rsid w:val="00304437"/>
    <w:rsid w:val="003059E7"/>
    <w:rsid w:val="0030786F"/>
    <w:rsid w:val="0031152C"/>
    <w:rsid w:val="00312C10"/>
    <w:rsid w:val="00314A4C"/>
    <w:rsid w:val="0031536F"/>
    <w:rsid w:val="00315DF5"/>
    <w:rsid w:val="003179E3"/>
    <w:rsid w:val="00317E4B"/>
    <w:rsid w:val="00320177"/>
    <w:rsid w:val="00321854"/>
    <w:rsid w:val="0032320A"/>
    <w:rsid w:val="0032429A"/>
    <w:rsid w:val="00326365"/>
    <w:rsid w:val="0033075D"/>
    <w:rsid w:val="003317A1"/>
    <w:rsid w:val="00333BFC"/>
    <w:rsid w:val="00333DB5"/>
    <w:rsid w:val="003354B6"/>
    <w:rsid w:val="00337B50"/>
    <w:rsid w:val="00342042"/>
    <w:rsid w:val="003465F7"/>
    <w:rsid w:val="00346D16"/>
    <w:rsid w:val="003536E5"/>
    <w:rsid w:val="00361A84"/>
    <w:rsid w:val="00364B54"/>
    <w:rsid w:val="00365131"/>
    <w:rsid w:val="00365B8F"/>
    <w:rsid w:val="0036606C"/>
    <w:rsid w:val="00366087"/>
    <w:rsid w:val="00370091"/>
    <w:rsid w:val="00370444"/>
    <w:rsid w:val="00370A5E"/>
    <w:rsid w:val="00375CC5"/>
    <w:rsid w:val="0037682E"/>
    <w:rsid w:val="00377B91"/>
    <w:rsid w:val="003805EA"/>
    <w:rsid w:val="00380C0B"/>
    <w:rsid w:val="00384898"/>
    <w:rsid w:val="00386743"/>
    <w:rsid w:val="00386B12"/>
    <w:rsid w:val="00390199"/>
    <w:rsid w:val="00390D6F"/>
    <w:rsid w:val="003947A4"/>
    <w:rsid w:val="00394EF6"/>
    <w:rsid w:val="00396449"/>
    <w:rsid w:val="003A06B9"/>
    <w:rsid w:val="003A727B"/>
    <w:rsid w:val="003A7EFB"/>
    <w:rsid w:val="003B2D70"/>
    <w:rsid w:val="003B437C"/>
    <w:rsid w:val="003B4A6C"/>
    <w:rsid w:val="003B5BCC"/>
    <w:rsid w:val="003B69AA"/>
    <w:rsid w:val="003C1A69"/>
    <w:rsid w:val="003D234A"/>
    <w:rsid w:val="003D24F1"/>
    <w:rsid w:val="003D30AE"/>
    <w:rsid w:val="003D5F37"/>
    <w:rsid w:val="003E2A29"/>
    <w:rsid w:val="003E70E3"/>
    <w:rsid w:val="003E726B"/>
    <w:rsid w:val="003E7B95"/>
    <w:rsid w:val="003F1A75"/>
    <w:rsid w:val="003F22EA"/>
    <w:rsid w:val="003F2BD9"/>
    <w:rsid w:val="003F2BF3"/>
    <w:rsid w:val="003F2D33"/>
    <w:rsid w:val="003F2F26"/>
    <w:rsid w:val="003F3203"/>
    <w:rsid w:val="003F4160"/>
    <w:rsid w:val="003F4624"/>
    <w:rsid w:val="003F54C9"/>
    <w:rsid w:val="00405764"/>
    <w:rsid w:val="00407A44"/>
    <w:rsid w:val="00407B92"/>
    <w:rsid w:val="0041053B"/>
    <w:rsid w:val="0041117B"/>
    <w:rsid w:val="00412992"/>
    <w:rsid w:val="00413E02"/>
    <w:rsid w:val="0041640E"/>
    <w:rsid w:val="00416C8F"/>
    <w:rsid w:val="00421498"/>
    <w:rsid w:val="00421D1A"/>
    <w:rsid w:val="004225F3"/>
    <w:rsid w:val="00424472"/>
    <w:rsid w:val="00427CBB"/>
    <w:rsid w:val="0043295F"/>
    <w:rsid w:val="00434B5C"/>
    <w:rsid w:val="00437D11"/>
    <w:rsid w:val="0044109D"/>
    <w:rsid w:val="004435D5"/>
    <w:rsid w:val="00445F0D"/>
    <w:rsid w:val="00446283"/>
    <w:rsid w:val="0044771C"/>
    <w:rsid w:val="004477DA"/>
    <w:rsid w:val="00447CED"/>
    <w:rsid w:val="00450D37"/>
    <w:rsid w:val="00451883"/>
    <w:rsid w:val="004555F2"/>
    <w:rsid w:val="00455C06"/>
    <w:rsid w:val="00461907"/>
    <w:rsid w:val="004631F8"/>
    <w:rsid w:val="00465948"/>
    <w:rsid w:val="00467CDA"/>
    <w:rsid w:val="00467DF1"/>
    <w:rsid w:val="00472026"/>
    <w:rsid w:val="0047269A"/>
    <w:rsid w:val="004737F0"/>
    <w:rsid w:val="00477FE2"/>
    <w:rsid w:val="00480947"/>
    <w:rsid w:val="00483B25"/>
    <w:rsid w:val="00486B0B"/>
    <w:rsid w:val="00486BBC"/>
    <w:rsid w:val="00491E2A"/>
    <w:rsid w:val="00495009"/>
    <w:rsid w:val="0049525E"/>
    <w:rsid w:val="004958B3"/>
    <w:rsid w:val="004A154E"/>
    <w:rsid w:val="004A2880"/>
    <w:rsid w:val="004A61B3"/>
    <w:rsid w:val="004B0399"/>
    <w:rsid w:val="004B28E2"/>
    <w:rsid w:val="004B2A6D"/>
    <w:rsid w:val="004B4B25"/>
    <w:rsid w:val="004B678B"/>
    <w:rsid w:val="004B6D53"/>
    <w:rsid w:val="004B7CCC"/>
    <w:rsid w:val="004C0BBB"/>
    <w:rsid w:val="004C1C84"/>
    <w:rsid w:val="004C4A19"/>
    <w:rsid w:val="004C5979"/>
    <w:rsid w:val="004C7822"/>
    <w:rsid w:val="004D0F76"/>
    <w:rsid w:val="004D1F7A"/>
    <w:rsid w:val="004D2F58"/>
    <w:rsid w:val="004D4011"/>
    <w:rsid w:val="004D6B0D"/>
    <w:rsid w:val="004D7969"/>
    <w:rsid w:val="004E12E6"/>
    <w:rsid w:val="004E299B"/>
    <w:rsid w:val="004E4709"/>
    <w:rsid w:val="004E7834"/>
    <w:rsid w:val="004F43FE"/>
    <w:rsid w:val="004F6A90"/>
    <w:rsid w:val="004F6F2B"/>
    <w:rsid w:val="004F72B6"/>
    <w:rsid w:val="005006D3"/>
    <w:rsid w:val="00501EB2"/>
    <w:rsid w:val="00507C6D"/>
    <w:rsid w:val="00507F40"/>
    <w:rsid w:val="00510278"/>
    <w:rsid w:val="00510D47"/>
    <w:rsid w:val="00511A21"/>
    <w:rsid w:val="00514032"/>
    <w:rsid w:val="00514916"/>
    <w:rsid w:val="00515B5D"/>
    <w:rsid w:val="00516A4D"/>
    <w:rsid w:val="00517374"/>
    <w:rsid w:val="0052174F"/>
    <w:rsid w:val="005235EB"/>
    <w:rsid w:val="005265C8"/>
    <w:rsid w:val="005369E6"/>
    <w:rsid w:val="00541E03"/>
    <w:rsid w:val="00542159"/>
    <w:rsid w:val="005468F8"/>
    <w:rsid w:val="00546DE4"/>
    <w:rsid w:val="00547CD5"/>
    <w:rsid w:val="00551A67"/>
    <w:rsid w:val="00552826"/>
    <w:rsid w:val="005548B2"/>
    <w:rsid w:val="00560C51"/>
    <w:rsid w:val="00561355"/>
    <w:rsid w:val="00562E8F"/>
    <w:rsid w:val="00566D54"/>
    <w:rsid w:val="00567D11"/>
    <w:rsid w:val="00572483"/>
    <w:rsid w:val="00573D3E"/>
    <w:rsid w:val="00575995"/>
    <w:rsid w:val="00576F9B"/>
    <w:rsid w:val="00577874"/>
    <w:rsid w:val="00586C9A"/>
    <w:rsid w:val="005925CF"/>
    <w:rsid w:val="005935A7"/>
    <w:rsid w:val="005936EE"/>
    <w:rsid w:val="005A211B"/>
    <w:rsid w:val="005A25BC"/>
    <w:rsid w:val="005A6EE1"/>
    <w:rsid w:val="005B0A7F"/>
    <w:rsid w:val="005B0CF7"/>
    <w:rsid w:val="005B30A0"/>
    <w:rsid w:val="005B67AC"/>
    <w:rsid w:val="005B7612"/>
    <w:rsid w:val="005B7B67"/>
    <w:rsid w:val="005B7D03"/>
    <w:rsid w:val="005C0A0F"/>
    <w:rsid w:val="005C1EB4"/>
    <w:rsid w:val="005C2CEB"/>
    <w:rsid w:val="005C2ED8"/>
    <w:rsid w:val="005C5031"/>
    <w:rsid w:val="005C5F5A"/>
    <w:rsid w:val="005C6C32"/>
    <w:rsid w:val="005D0B86"/>
    <w:rsid w:val="005D1267"/>
    <w:rsid w:val="005D304D"/>
    <w:rsid w:val="005D5C74"/>
    <w:rsid w:val="005D6B34"/>
    <w:rsid w:val="005D6C94"/>
    <w:rsid w:val="005D773A"/>
    <w:rsid w:val="005E3800"/>
    <w:rsid w:val="005E4C95"/>
    <w:rsid w:val="005E53E9"/>
    <w:rsid w:val="005E5EC0"/>
    <w:rsid w:val="005E7DFF"/>
    <w:rsid w:val="005F08EE"/>
    <w:rsid w:val="005F4AC7"/>
    <w:rsid w:val="005F75AF"/>
    <w:rsid w:val="00602937"/>
    <w:rsid w:val="00607EBA"/>
    <w:rsid w:val="00607ED9"/>
    <w:rsid w:val="00616E2A"/>
    <w:rsid w:val="006174B5"/>
    <w:rsid w:val="00617AC5"/>
    <w:rsid w:val="00623F7F"/>
    <w:rsid w:val="006250C8"/>
    <w:rsid w:val="006267C8"/>
    <w:rsid w:val="00640605"/>
    <w:rsid w:val="00640DE5"/>
    <w:rsid w:val="00641A98"/>
    <w:rsid w:val="0064377E"/>
    <w:rsid w:val="00645ACA"/>
    <w:rsid w:val="00645B01"/>
    <w:rsid w:val="00647FE6"/>
    <w:rsid w:val="00651227"/>
    <w:rsid w:val="00651822"/>
    <w:rsid w:val="0065785A"/>
    <w:rsid w:val="00661A33"/>
    <w:rsid w:val="006658A1"/>
    <w:rsid w:val="00665B95"/>
    <w:rsid w:val="0066614F"/>
    <w:rsid w:val="006662E5"/>
    <w:rsid w:val="00667A3C"/>
    <w:rsid w:val="00670D3B"/>
    <w:rsid w:val="00672858"/>
    <w:rsid w:val="0067331B"/>
    <w:rsid w:val="00674310"/>
    <w:rsid w:val="00675521"/>
    <w:rsid w:val="006763B3"/>
    <w:rsid w:val="00681F33"/>
    <w:rsid w:val="006836DC"/>
    <w:rsid w:val="00683BDB"/>
    <w:rsid w:val="006850CF"/>
    <w:rsid w:val="00690F2B"/>
    <w:rsid w:val="00691C04"/>
    <w:rsid w:val="006946CB"/>
    <w:rsid w:val="00695759"/>
    <w:rsid w:val="006972F4"/>
    <w:rsid w:val="006A29AA"/>
    <w:rsid w:val="006A2F3A"/>
    <w:rsid w:val="006A3C16"/>
    <w:rsid w:val="006A7302"/>
    <w:rsid w:val="006B2E26"/>
    <w:rsid w:val="006B3108"/>
    <w:rsid w:val="006B32FD"/>
    <w:rsid w:val="006B43F8"/>
    <w:rsid w:val="006B612E"/>
    <w:rsid w:val="006B667C"/>
    <w:rsid w:val="006B71A3"/>
    <w:rsid w:val="006B731E"/>
    <w:rsid w:val="006C4F34"/>
    <w:rsid w:val="006C5E35"/>
    <w:rsid w:val="006C6291"/>
    <w:rsid w:val="006C687D"/>
    <w:rsid w:val="006C7445"/>
    <w:rsid w:val="006D0F09"/>
    <w:rsid w:val="006D3D9C"/>
    <w:rsid w:val="006D5292"/>
    <w:rsid w:val="006E6BD4"/>
    <w:rsid w:val="006E7744"/>
    <w:rsid w:val="006E7783"/>
    <w:rsid w:val="006E7B22"/>
    <w:rsid w:val="006E7D6E"/>
    <w:rsid w:val="006F14CD"/>
    <w:rsid w:val="006F184C"/>
    <w:rsid w:val="006F3606"/>
    <w:rsid w:val="006F4A31"/>
    <w:rsid w:val="006F4E63"/>
    <w:rsid w:val="006F6E60"/>
    <w:rsid w:val="007035CA"/>
    <w:rsid w:val="007067BD"/>
    <w:rsid w:val="007100C2"/>
    <w:rsid w:val="00710E8F"/>
    <w:rsid w:val="007118BC"/>
    <w:rsid w:val="007124B5"/>
    <w:rsid w:val="00712B31"/>
    <w:rsid w:val="00713763"/>
    <w:rsid w:val="00713BB6"/>
    <w:rsid w:val="00713F74"/>
    <w:rsid w:val="00721DBD"/>
    <w:rsid w:val="007220DD"/>
    <w:rsid w:val="00722723"/>
    <w:rsid w:val="00723042"/>
    <w:rsid w:val="0072315A"/>
    <w:rsid w:val="007257E9"/>
    <w:rsid w:val="0072733E"/>
    <w:rsid w:val="00733541"/>
    <w:rsid w:val="007344CE"/>
    <w:rsid w:val="0073717F"/>
    <w:rsid w:val="00740865"/>
    <w:rsid w:val="00741319"/>
    <w:rsid w:val="00742C69"/>
    <w:rsid w:val="00756070"/>
    <w:rsid w:val="00757892"/>
    <w:rsid w:val="007608DF"/>
    <w:rsid w:val="0076152B"/>
    <w:rsid w:val="00761790"/>
    <w:rsid w:val="00764A61"/>
    <w:rsid w:val="007664BB"/>
    <w:rsid w:val="007677F0"/>
    <w:rsid w:val="00767CA6"/>
    <w:rsid w:val="00767D12"/>
    <w:rsid w:val="00771F34"/>
    <w:rsid w:val="00772F0A"/>
    <w:rsid w:val="00777058"/>
    <w:rsid w:val="00777790"/>
    <w:rsid w:val="00777C12"/>
    <w:rsid w:val="007809B5"/>
    <w:rsid w:val="007811D4"/>
    <w:rsid w:val="00782433"/>
    <w:rsid w:val="00784EE6"/>
    <w:rsid w:val="00785651"/>
    <w:rsid w:val="00785EF0"/>
    <w:rsid w:val="00785FB6"/>
    <w:rsid w:val="0079254B"/>
    <w:rsid w:val="00793775"/>
    <w:rsid w:val="00793F8C"/>
    <w:rsid w:val="0079427A"/>
    <w:rsid w:val="00796C86"/>
    <w:rsid w:val="007A4FD9"/>
    <w:rsid w:val="007B14CD"/>
    <w:rsid w:val="007B2F4A"/>
    <w:rsid w:val="007B59C3"/>
    <w:rsid w:val="007B616B"/>
    <w:rsid w:val="007B6592"/>
    <w:rsid w:val="007B65E8"/>
    <w:rsid w:val="007B6B44"/>
    <w:rsid w:val="007B6FB7"/>
    <w:rsid w:val="007C5530"/>
    <w:rsid w:val="007C5873"/>
    <w:rsid w:val="007D0E44"/>
    <w:rsid w:val="007D308B"/>
    <w:rsid w:val="007D39BC"/>
    <w:rsid w:val="007D4875"/>
    <w:rsid w:val="007E05EB"/>
    <w:rsid w:val="007E0A49"/>
    <w:rsid w:val="007E18DA"/>
    <w:rsid w:val="007E5636"/>
    <w:rsid w:val="007E5E8E"/>
    <w:rsid w:val="007E5F87"/>
    <w:rsid w:val="007E6DD7"/>
    <w:rsid w:val="007F0AC2"/>
    <w:rsid w:val="007F54EE"/>
    <w:rsid w:val="007F721E"/>
    <w:rsid w:val="00800530"/>
    <w:rsid w:val="00801858"/>
    <w:rsid w:val="00802211"/>
    <w:rsid w:val="00804D39"/>
    <w:rsid w:val="00805812"/>
    <w:rsid w:val="0080628A"/>
    <w:rsid w:val="00806B76"/>
    <w:rsid w:val="00806F91"/>
    <w:rsid w:val="0080718B"/>
    <w:rsid w:val="00810BEA"/>
    <w:rsid w:val="008118F6"/>
    <w:rsid w:val="008138D2"/>
    <w:rsid w:val="008151CF"/>
    <w:rsid w:val="00821A38"/>
    <w:rsid w:val="00822A92"/>
    <w:rsid w:val="0082415D"/>
    <w:rsid w:val="00824629"/>
    <w:rsid w:val="00832306"/>
    <w:rsid w:val="008344DD"/>
    <w:rsid w:val="00834B76"/>
    <w:rsid w:val="00837723"/>
    <w:rsid w:val="008377D5"/>
    <w:rsid w:val="0083788A"/>
    <w:rsid w:val="00837A1D"/>
    <w:rsid w:val="00840907"/>
    <w:rsid w:val="00840BA0"/>
    <w:rsid w:val="00840BC3"/>
    <w:rsid w:val="008424EA"/>
    <w:rsid w:val="008429B8"/>
    <w:rsid w:val="00843CA3"/>
    <w:rsid w:val="00845FCE"/>
    <w:rsid w:val="008505C7"/>
    <w:rsid w:val="008513A4"/>
    <w:rsid w:val="00853284"/>
    <w:rsid w:val="00853DA5"/>
    <w:rsid w:val="00855AE6"/>
    <w:rsid w:val="008637D5"/>
    <w:rsid w:val="00863DF3"/>
    <w:rsid w:val="00866940"/>
    <w:rsid w:val="00866A4F"/>
    <w:rsid w:val="00873545"/>
    <w:rsid w:val="00874E13"/>
    <w:rsid w:val="00875250"/>
    <w:rsid w:val="0087558C"/>
    <w:rsid w:val="00880E8C"/>
    <w:rsid w:val="00881202"/>
    <w:rsid w:val="008813BC"/>
    <w:rsid w:val="008817A6"/>
    <w:rsid w:val="00881E36"/>
    <w:rsid w:val="0088257A"/>
    <w:rsid w:val="008828D0"/>
    <w:rsid w:val="00883F58"/>
    <w:rsid w:val="00884FF0"/>
    <w:rsid w:val="00887E9C"/>
    <w:rsid w:val="00892A87"/>
    <w:rsid w:val="008952AD"/>
    <w:rsid w:val="008978D2"/>
    <w:rsid w:val="008A1400"/>
    <w:rsid w:val="008A1AF3"/>
    <w:rsid w:val="008A1BEF"/>
    <w:rsid w:val="008A590F"/>
    <w:rsid w:val="008A5F91"/>
    <w:rsid w:val="008B022A"/>
    <w:rsid w:val="008B1363"/>
    <w:rsid w:val="008B180D"/>
    <w:rsid w:val="008B70A4"/>
    <w:rsid w:val="008B7796"/>
    <w:rsid w:val="008B7F9A"/>
    <w:rsid w:val="008C052B"/>
    <w:rsid w:val="008C1F12"/>
    <w:rsid w:val="008C43BB"/>
    <w:rsid w:val="008C5068"/>
    <w:rsid w:val="008C6816"/>
    <w:rsid w:val="008C6F93"/>
    <w:rsid w:val="008D0CDA"/>
    <w:rsid w:val="008D3A8D"/>
    <w:rsid w:val="008D3FFC"/>
    <w:rsid w:val="008E0525"/>
    <w:rsid w:val="008E05B4"/>
    <w:rsid w:val="008E2C69"/>
    <w:rsid w:val="008E3AF9"/>
    <w:rsid w:val="008E5D64"/>
    <w:rsid w:val="008E6040"/>
    <w:rsid w:val="008F0056"/>
    <w:rsid w:val="008F151F"/>
    <w:rsid w:val="008F2723"/>
    <w:rsid w:val="008F5CE8"/>
    <w:rsid w:val="00902831"/>
    <w:rsid w:val="00903C0E"/>
    <w:rsid w:val="00904BED"/>
    <w:rsid w:val="00911922"/>
    <w:rsid w:val="00911E07"/>
    <w:rsid w:val="0091221F"/>
    <w:rsid w:val="00914227"/>
    <w:rsid w:val="0091455D"/>
    <w:rsid w:val="0091500F"/>
    <w:rsid w:val="00915848"/>
    <w:rsid w:val="00915BD2"/>
    <w:rsid w:val="00917C6C"/>
    <w:rsid w:val="0092081C"/>
    <w:rsid w:val="00920C08"/>
    <w:rsid w:val="00921238"/>
    <w:rsid w:val="00925109"/>
    <w:rsid w:val="00926F3C"/>
    <w:rsid w:val="0092723B"/>
    <w:rsid w:val="00927C6C"/>
    <w:rsid w:val="00931222"/>
    <w:rsid w:val="00935C4E"/>
    <w:rsid w:val="00936088"/>
    <w:rsid w:val="00936908"/>
    <w:rsid w:val="00936B1E"/>
    <w:rsid w:val="00936B93"/>
    <w:rsid w:val="00940C3E"/>
    <w:rsid w:val="0094301A"/>
    <w:rsid w:val="00946F24"/>
    <w:rsid w:val="009474B1"/>
    <w:rsid w:val="00950982"/>
    <w:rsid w:val="00953E23"/>
    <w:rsid w:val="009616C7"/>
    <w:rsid w:val="009621EB"/>
    <w:rsid w:val="00962855"/>
    <w:rsid w:val="00963E9C"/>
    <w:rsid w:val="009678F2"/>
    <w:rsid w:val="00970C71"/>
    <w:rsid w:val="00971203"/>
    <w:rsid w:val="00971828"/>
    <w:rsid w:val="009735CC"/>
    <w:rsid w:val="00973C1A"/>
    <w:rsid w:val="00974E9A"/>
    <w:rsid w:val="00975999"/>
    <w:rsid w:val="00977A2E"/>
    <w:rsid w:val="00982131"/>
    <w:rsid w:val="00991C62"/>
    <w:rsid w:val="00992851"/>
    <w:rsid w:val="009A1DCE"/>
    <w:rsid w:val="009B2E70"/>
    <w:rsid w:val="009B6FAE"/>
    <w:rsid w:val="009C3675"/>
    <w:rsid w:val="009C5A5E"/>
    <w:rsid w:val="009C5AB7"/>
    <w:rsid w:val="009C6C21"/>
    <w:rsid w:val="009D0325"/>
    <w:rsid w:val="009D2762"/>
    <w:rsid w:val="009D549D"/>
    <w:rsid w:val="009D719C"/>
    <w:rsid w:val="009D77A8"/>
    <w:rsid w:val="009E097D"/>
    <w:rsid w:val="009E33EA"/>
    <w:rsid w:val="009E4A77"/>
    <w:rsid w:val="009E52B9"/>
    <w:rsid w:val="009E63F2"/>
    <w:rsid w:val="009E781E"/>
    <w:rsid w:val="009F09E7"/>
    <w:rsid w:val="009F2474"/>
    <w:rsid w:val="009F2874"/>
    <w:rsid w:val="009F3DAB"/>
    <w:rsid w:val="009F3F3D"/>
    <w:rsid w:val="009F43A5"/>
    <w:rsid w:val="009F62BA"/>
    <w:rsid w:val="00A00F40"/>
    <w:rsid w:val="00A01B5E"/>
    <w:rsid w:val="00A03384"/>
    <w:rsid w:val="00A03C40"/>
    <w:rsid w:val="00A06B9F"/>
    <w:rsid w:val="00A10293"/>
    <w:rsid w:val="00A10D9B"/>
    <w:rsid w:val="00A2041A"/>
    <w:rsid w:val="00A209ED"/>
    <w:rsid w:val="00A23762"/>
    <w:rsid w:val="00A253DB"/>
    <w:rsid w:val="00A30CC4"/>
    <w:rsid w:val="00A329A7"/>
    <w:rsid w:val="00A34C21"/>
    <w:rsid w:val="00A36C87"/>
    <w:rsid w:val="00A41E72"/>
    <w:rsid w:val="00A432A9"/>
    <w:rsid w:val="00A46704"/>
    <w:rsid w:val="00A47781"/>
    <w:rsid w:val="00A53BA6"/>
    <w:rsid w:val="00A53DA8"/>
    <w:rsid w:val="00A54C47"/>
    <w:rsid w:val="00A54EE5"/>
    <w:rsid w:val="00A5701E"/>
    <w:rsid w:val="00A608FF"/>
    <w:rsid w:val="00A6289B"/>
    <w:rsid w:val="00A64BB6"/>
    <w:rsid w:val="00A6669B"/>
    <w:rsid w:val="00A66B6F"/>
    <w:rsid w:val="00A7319B"/>
    <w:rsid w:val="00A733AC"/>
    <w:rsid w:val="00A74A99"/>
    <w:rsid w:val="00A764B8"/>
    <w:rsid w:val="00A81B99"/>
    <w:rsid w:val="00A81D97"/>
    <w:rsid w:val="00A924DA"/>
    <w:rsid w:val="00A9421B"/>
    <w:rsid w:val="00A9471B"/>
    <w:rsid w:val="00A95C04"/>
    <w:rsid w:val="00A97878"/>
    <w:rsid w:val="00A97E1F"/>
    <w:rsid w:val="00AA17FC"/>
    <w:rsid w:val="00AB0298"/>
    <w:rsid w:val="00AB037F"/>
    <w:rsid w:val="00AB1870"/>
    <w:rsid w:val="00AB2631"/>
    <w:rsid w:val="00AB3EAE"/>
    <w:rsid w:val="00AB471F"/>
    <w:rsid w:val="00AB5777"/>
    <w:rsid w:val="00AB5F58"/>
    <w:rsid w:val="00AC235A"/>
    <w:rsid w:val="00AC387D"/>
    <w:rsid w:val="00AC504E"/>
    <w:rsid w:val="00AD00B7"/>
    <w:rsid w:val="00AD2C0E"/>
    <w:rsid w:val="00AD6349"/>
    <w:rsid w:val="00AD65B5"/>
    <w:rsid w:val="00AD6948"/>
    <w:rsid w:val="00AD75DD"/>
    <w:rsid w:val="00AE1787"/>
    <w:rsid w:val="00AE387A"/>
    <w:rsid w:val="00AE77A8"/>
    <w:rsid w:val="00AF0B98"/>
    <w:rsid w:val="00AF1F6F"/>
    <w:rsid w:val="00AF25FC"/>
    <w:rsid w:val="00AF2C6A"/>
    <w:rsid w:val="00AF3300"/>
    <w:rsid w:val="00AF555D"/>
    <w:rsid w:val="00AF6DCB"/>
    <w:rsid w:val="00B006FC"/>
    <w:rsid w:val="00B02287"/>
    <w:rsid w:val="00B03B68"/>
    <w:rsid w:val="00B05A03"/>
    <w:rsid w:val="00B073E6"/>
    <w:rsid w:val="00B07B79"/>
    <w:rsid w:val="00B1389E"/>
    <w:rsid w:val="00B15C0C"/>
    <w:rsid w:val="00B21FBF"/>
    <w:rsid w:val="00B25558"/>
    <w:rsid w:val="00B257F5"/>
    <w:rsid w:val="00B272B9"/>
    <w:rsid w:val="00B301D5"/>
    <w:rsid w:val="00B3346C"/>
    <w:rsid w:val="00B34909"/>
    <w:rsid w:val="00B37BC8"/>
    <w:rsid w:val="00B421B0"/>
    <w:rsid w:val="00B45831"/>
    <w:rsid w:val="00B45DDA"/>
    <w:rsid w:val="00B5360E"/>
    <w:rsid w:val="00B54037"/>
    <w:rsid w:val="00B57137"/>
    <w:rsid w:val="00B60873"/>
    <w:rsid w:val="00B62D60"/>
    <w:rsid w:val="00B6351A"/>
    <w:rsid w:val="00B64BCD"/>
    <w:rsid w:val="00B651D4"/>
    <w:rsid w:val="00B65963"/>
    <w:rsid w:val="00B66411"/>
    <w:rsid w:val="00B7227E"/>
    <w:rsid w:val="00B72C2C"/>
    <w:rsid w:val="00B739F9"/>
    <w:rsid w:val="00B7545A"/>
    <w:rsid w:val="00B75502"/>
    <w:rsid w:val="00B82ED7"/>
    <w:rsid w:val="00B84F0C"/>
    <w:rsid w:val="00B933D2"/>
    <w:rsid w:val="00BA1057"/>
    <w:rsid w:val="00BA74A3"/>
    <w:rsid w:val="00BA7B2C"/>
    <w:rsid w:val="00BB60F8"/>
    <w:rsid w:val="00BB6E21"/>
    <w:rsid w:val="00BB718C"/>
    <w:rsid w:val="00BB729F"/>
    <w:rsid w:val="00BC2270"/>
    <w:rsid w:val="00BC3C37"/>
    <w:rsid w:val="00BC5589"/>
    <w:rsid w:val="00BC6212"/>
    <w:rsid w:val="00BC736D"/>
    <w:rsid w:val="00BD2B69"/>
    <w:rsid w:val="00BD4D50"/>
    <w:rsid w:val="00BD7CFA"/>
    <w:rsid w:val="00BD7D56"/>
    <w:rsid w:val="00BE258B"/>
    <w:rsid w:val="00BF0B5D"/>
    <w:rsid w:val="00BF1EE6"/>
    <w:rsid w:val="00BF462D"/>
    <w:rsid w:val="00BF58E3"/>
    <w:rsid w:val="00BF74A1"/>
    <w:rsid w:val="00BF7B43"/>
    <w:rsid w:val="00C011B1"/>
    <w:rsid w:val="00C01DC4"/>
    <w:rsid w:val="00C04461"/>
    <w:rsid w:val="00C072E0"/>
    <w:rsid w:val="00C119CC"/>
    <w:rsid w:val="00C13151"/>
    <w:rsid w:val="00C14058"/>
    <w:rsid w:val="00C16723"/>
    <w:rsid w:val="00C16D6A"/>
    <w:rsid w:val="00C21B80"/>
    <w:rsid w:val="00C23791"/>
    <w:rsid w:val="00C23996"/>
    <w:rsid w:val="00C26B65"/>
    <w:rsid w:val="00C26FD3"/>
    <w:rsid w:val="00C2733F"/>
    <w:rsid w:val="00C30211"/>
    <w:rsid w:val="00C32397"/>
    <w:rsid w:val="00C3334B"/>
    <w:rsid w:val="00C3426A"/>
    <w:rsid w:val="00C350FB"/>
    <w:rsid w:val="00C356DF"/>
    <w:rsid w:val="00C50797"/>
    <w:rsid w:val="00C5195A"/>
    <w:rsid w:val="00C52543"/>
    <w:rsid w:val="00C527B6"/>
    <w:rsid w:val="00C52F84"/>
    <w:rsid w:val="00C55F77"/>
    <w:rsid w:val="00C6069E"/>
    <w:rsid w:val="00C60AAF"/>
    <w:rsid w:val="00C70FB7"/>
    <w:rsid w:val="00C71BF7"/>
    <w:rsid w:val="00C73516"/>
    <w:rsid w:val="00C745A7"/>
    <w:rsid w:val="00C76663"/>
    <w:rsid w:val="00C821B6"/>
    <w:rsid w:val="00C82964"/>
    <w:rsid w:val="00C8526C"/>
    <w:rsid w:val="00C858DD"/>
    <w:rsid w:val="00C90319"/>
    <w:rsid w:val="00C921DA"/>
    <w:rsid w:val="00C93F9A"/>
    <w:rsid w:val="00C95CF6"/>
    <w:rsid w:val="00C964F1"/>
    <w:rsid w:val="00CA42D6"/>
    <w:rsid w:val="00CA690B"/>
    <w:rsid w:val="00CA76D4"/>
    <w:rsid w:val="00CB0226"/>
    <w:rsid w:val="00CB063B"/>
    <w:rsid w:val="00CB1FB9"/>
    <w:rsid w:val="00CB3E12"/>
    <w:rsid w:val="00CB4790"/>
    <w:rsid w:val="00CB4810"/>
    <w:rsid w:val="00CB571C"/>
    <w:rsid w:val="00CB741F"/>
    <w:rsid w:val="00CC2588"/>
    <w:rsid w:val="00CC36E5"/>
    <w:rsid w:val="00CC48F1"/>
    <w:rsid w:val="00CC75BD"/>
    <w:rsid w:val="00CD053B"/>
    <w:rsid w:val="00CD1579"/>
    <w:rsid w:val="00CD308A"/>
    <w:rsid w:val="00CD415B"/>
    <w:rsid w:val="00CD4687"/>
    <w:rsid w:val="00CD6DCC"/>
    <w:rsid w:val="00CD73BD"/>
    <w:rsid w:val="00CE1349"/>
    <w:rsid w:val="00CE19B2"/>
    <w:rsid w:val="00CE3430"/>
    <w:rsid w:val="00CE3B02"/>
    <w:rsid w:val="00CE4212"/>
    <w:rsid w:val="00CE5813"/>
    <w:rsid w:val="00CE7EF3"/>
    <w:rsid w:val="00CF2FD4"/>
    <w:rsid w:val="00CF56B5"/>
    <w:rsid w:val="00CF5B65"/>
    <w:rsid w:val="00CF6875"/>
    <w:rsid w:val="00CF6F5E"/>
    <w:rsid w:val="00D016A3"/>
    <w:rsid w:val="00D01B48"/>
    <w:rsid w:val="00D020EB"/>
    <w:rsid w:val="00D02433"/>
    <w:rsid w:val="00D03EF3"/>
    <w:rsid w:val="00D07BE4"/>
    <w:rsid w:val="00D12636"/>
    <w:rsid w:val="00D15755"/>
    <w:rsid w:val="00D20232"/>
    <w:rsid w:val="00D2257B"/>
    <w:rsid w:val="00D229AF"/>
    <w:rsid w:val="00D22C25"/>
    <w:rsid w:val="00D24486"/>
    <w:rsid w:val="00D2527F"/>
    <w:rsid w:val="00D25453"/>
    <w:rsid w:val="00D27CCC"/>
    <w:rsid w:val="00D30367"/>
    <w:rsid w:val="00D319FA"/>
    <w:rsid w:val="00D32D46"/>
    <w:rsid w:val="00D33A44"/>
    <w:rsid w:val="00D35EA1"/>
    <w:rsid w:val="00D36985"/>
    <w:rsid w:val="00D41D6F"/>
    <w:rsid w:val="00D512C7"/>
    <w:rsid w:val="00D55542"/>
    <w:rsid w:val="00D555A7"/>
    <w:rsid w:val="00D558D7"/>
    <w:rsid w:val="00D6128E"/>
    <w:rsid w:val="00D65AC2"/>
    <w:rsid w:val="00D662FD"/>
    <w:rsid w:val="00D66DE2"/>
    <w:rsid w:val="00D676DA"/>
    <w:rsid w:val="00D702A0"/>
    <w:rsid w:val="00D7583E"/>
    <w:rsid w:val="00D81BBE"/>
    <w:rsid w:val="00D84155"/>
    <w:rsid w:val="00D84E3E"/>
    <w:rsid w:val="00D869B1"/>
    <w:rsid w:val="00D878AF"/>
    <w:rsid w:val="00D9083A"/>
    <w:rsid w:val="00D946FC"/>
    <w:rsid w:val="00D95323"/>
    <w:rsid w:val="00DA1A61"/>
    <w:rsid w:val="00DA1EF0"/>
    <w:rsid w:val="00DA6233"/>
    <w:rsid w:val="00DB0190"/>
    <w:rsid w:val="00DB1002"/>
    <w:rsid w:val="00DB2720"/>
    <w:rsid w:val="00DB43EC"/>
    <w:rsid w:val="00DB5394"/>
    <w:rsid w:val="00DC2386"/>
    <w:rsid w:val="00DC6B0B"/>
    <w:rsid w:val="00DC78CF"/>
    <w:rsid w:val="00DD0459"/>
    <w:rsid w:val="00DD0B04"/>
    <w:rsid w:val="00DD10F8"/>
    <w:rsid w:val="00DD1213"/>
    <w:rsid w:val="00DD1941"/>
    <w:rsid w:val="00DD37BC"/>
    <w:rsid w:val="00DD3A0C"/>
    <w:rsid w:val="00DD5A3E"/>
    <w:rsid w:val="00DE09BA"/>
    <w:rsid w:val="00DE47D1"/>
    <w:rsid w:val="00DE48AE"/>
    <w:rsid w:val="00DE5E09"/>
    <w:rsid w:val="00DF09D7"/>
    <w:rsid w:val="00DF1C4D"/>
    <w:rsid w:val="00DF2F13"/>
    <w:rsid w:val="00DF305B"/>
    <w:rsid w:val="00DF336C"/>
    <w:rsid w:val="00DF4484"/>
    <w:rsid w:val="00DF5305"/>
    <w:rsid w:val="00DF5954"/>
    <w:rsid w:val="00DF6EF1"/>
    <w:rsid w:val="00E01222"/>
    <w:rsid w:val="00E107D9"/>
    <w:rsid w:val="00E10F53"/>
    <w:rsid w:val="00E12857"/>
    <w:rsid w:val="00E12934"/>
    <w:rsid w:val="00E17928"/>
    <w:rsid w:val="00E23591"/>
    <w:rsid w:val="00E26D2D"/>
    <w:rsid w:val="00E27BFE"/>
    <w:rsid w:val="00E310BA"/>
    <w:rsid w:val="00E32229"/>
    <w:rsid w:val="00E32CE9"/>
    <w:rsid w:val="00E35002"/>
    <w:rsid w:val="00E350AC"/>
    <w:rsid w:val="00E369F9"/>
    <w:rsid w:val="00E41042"/>
    <w:rsid w:val="00E4670E"/>
    <w:rsid w:val="00E47BA6"/>
    <w:rsid w:val="00E5351B"/>
    <w:rsid w:val="00E55634"/>
    <w:rsid w:val="00E55CDC"/>
    <w:rsid w:val="00E562AB"/>
    <w:rsid w:val="00E568CB"/>
    <w:rsid w:val="00E56D03"/>
    <w:rsid w:val="00E57B23"/>
    <w:rsid w:val="00E629AF"/>
    <w:rsid w:val="00E67E81"/>
    <w:rsid w:val="00E72591"/>
    <w:rsid w:val="00E72A32"/>
    <w:rsid w:val="00E72C43"/>
    <w:rsid w:val="00E76463"/>
    <w:rsid w:val="00E807E0"/>
    <w:rsid w:val="00E83D6F"/>
    <w:rsid w:val="00E8428E"/>
    <w:rsid w:val="00E84E3E"/>
    <w:rsid w:val="00E84F4D"/>
    <w:rsid w:val="00E84FFE"/>
    <w:rsid w:val="00E870A4"/>
    <w:rsid w:val="00E876B3"/>
    <w:rsid w:val="00E87D1E"/>
    <w:rsid w:val="00E9152C"/>
    <w:rsid w:val="00E96174"/>
    <w:rsid w:val="00E96E7D"/>
    <w:rsid w:val="00EA00C5"/>
    <w:rsid w:val="00EA1462"/>
    <w:rsid w:val="00EA1DC4"/>
    <w:rsid w:val="00EB0466"/>
    <w:rsid w:val="00EB06A2"/>
    <w:rsid w:val="00EB302B"/>
    <w:rsid w:val="00EB3F96"/>
    <w:rsid w:val="00EB64B4"/>
    <w:rsid w:val="00EC2865"/>
    <w:rsid w:val="00EC3AAA"/>
    <w:rsid w:val="00EC3F8E"/>
    <w:rsid w:val="00EC4B91"/>
    <w:rsid w:val="00EC50A9"/>
    <w:rsid w:val="00ED0EC4"/>
    <w:rsid w:val="00ED368E"/>
    <w:rsid w:val="00ED4B77"/>
    <w:rsid w:val="00ED5E86"/>
    <w:rsid w:val="00EE3CB0"/>
    <w:rsid w:val="00EE40FD"/>
    <w:rsid w:val="00EE5833"/>
    <w:rsid w:val="00EE78A4"/>
    <w:rsid w:val="00EE7C6B"/>
    <w:rsid w:val="00EF0E75"/>
    <w:rsid w:val="00EF1234"/>
    <w:rsid w:val="00EF26A1"/>
    <w:rsid w:val="00EF3706"/>
    <w:rsid w:val="00EF3B60"/>
    <w:rsid w:val="00EF6A4A"/>
    <w:rsid w:val="00EF6CF3"/>
    <w:rsid w:val="00EF7839"/>
    <w:rsid w:val="00F0071E"/>
    <w:rsid w:val="00F01C6E"/>
    <w:rsid w:val="00F027EA"/>
    <w:rsid w:val="00F02AA8"/>
    <w:rsid w:val="00F03176"/>
    <w:rsid w:val="00F03CE4"/>
    <w:rsid w:val="00F04D58"/>
    <w:rsid w:val="00F074DE"/>
    <w:rsid w:val="00F12E2E"/>
    <w:rsid w:val="00F13023"/>
    <w:rsid w:val="00F144B4"/>
    <w:rsid w:val="00F17402"/>
    <w:rsid w:val="00F227FD"/>
    <w:rsid w:val="00F22BB9"/>
    <w:rsid w:val="00F25CBD"/>
    <w:rsid w:val="00F3453E"/>
    <w:rsid w:val="00F373D4"/>
    <w:rsid w:val="00F377FF"/>
    <w:rsid w:val="00F41AE7"/>
    <w:rsid w:val="00F42EDC"/>
    <w:rsid w:val="00F43D4A"/>
    <w:rsid w:val="00F45E93"/>
    <w:rsid w:val="00F505A3"/>
    <w:rsid w:val="00F55FFA"/>
    <w:rsid w:val="00F56D23"/>
    <w:rsid w:val="00F5712B"/>
    <w:rsid w:val="00F62878"/>
    <w:rsid w:val="00F63173"/>
    <w:rsid w:val="00F639E7"/>
    <w:rsid w:val="00F642B6"/>
    <w:rsid w:val="00F6775C"/>
    <w:rsid w:val="00F7012C"/>
    <w:rsid w:val="00F70512"/>
    <w:rsid w:val="00F73612"/>
    <w:rsid w:val="00F75BA9"/>
    <w:rsid w:val="00F76A98"/>
    <w:rsid w:val="00F76C4B"/>
    <w:rsid w:val="00F807ED"/>
    <w:rsid w:val="00F84322"/>
    <w:rsid w:val="00F847D3"/>
    <w:rsid w:val="00F85CD5"/>
    <w:rsid w:val="00F87DE5"/>
    <w:rsid w:val="00F91057"/>
    <w:rsid w:val="00F924F2"/>
    <w:rsid w:val="00F934F1"/>
    <w:rsid w:val="00F945FF"/>
    <w:rsid w:val="00F948CB"/>
    <w:rsid w:val="00F9674D"/>
    <w:rsid w:val="00F97601"/>
    <w:rsid w:val="00FA31AE"/>
    <w:rsid w:val="00FA4441"/>
    <w:rsid w:val="00FA5A65"/>
    <w:rsid w:val="00FA68F5"/>
    <w:rsid w:val="00FA6C4D"/>
    <w:rsid w:val="00FA6CF4"/>
    <w:rsid w:val="00FA6E1B"/>
    <w:rsid w:val="00FA6FEC"/>
    <w:rsid w:val="00FA71A0"/>
    <w:rsid w:val="00FA7F32"/>
    <w:rsid w:val="00FB09B3"/>
    <w:rsid w:val="00FB26F2"/>
    <w:rsid w:val="00FB36A0"/>
    <w:rsid w:val="00FB36B8"/>
    <w:rsid w:val="00FB3A76"/>
    <w:rsid w:val="00FB3C29"/>
    <w:rsid w:val="00FB461F"/>
    <w:rsid w:val="00FB65F6"/>
    <w:rsid w:val="00FB7D3E"/>
    <w:rsid w:val="00FC13E7"/>
    <w:rsid w:val="00FC22CC"/>
    <w:rsid w:val="00FC288F"/>
    <w:rsid w:val="00FC59F7"/>
    <w:rsid w:val="00FC700F"/>
    <w:rsid w:val="00FC749C"/>
    <w:rsid w:val="00FC7664"/>
    <w:rsid w:val="00FD1D91"/>
    <w:rsid w:val="00FD36A7"/>
    <w:rsid w:val="00FD472F"/>
    <w:rsid w:val="00FD4D6A"/>
    <w:rsid w:val="00FE06CC"/>
    <w:rsid w:val="00FE20EF"/>
    <w:rsid w:val="00FE2335"/>
    <w:rsid w:val="00FE4A03"/>
    <w:rsid w:val="00FE4C38"/>
    <w:rsid w:val="00FF0D1C"/>
    <w:rsid w:val="00FF1D49"/>
    <w:rsid w:val="00FF5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FC5A"/>
  <w15:docId w15:val="{14246D6F-3757-48A7-8B91-346E90EF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3D5C"/>
    <w:rPr>
      <w:rFonts w:cs="Arial Unicode MS"/>
      <w:color w:val="000000"/>
      <w:sz w:val="24"/>
      <w:szCs w:val="24"/>
      <w:u w:color="000000"/>
    </w:rPr>
  </w:style>
  <w:style w:type="paragraph" w:styleId="Nadpis1">
    <w:name w:val="heading 1"/>
    <w:next w:val="Normln"/>
    <w:link w:val="Nadpis1Char"/>
    <w:uiPriority w:val="9"/>
    <w:qFormat/>
    <w:rsid w:val="00F13023"/>
    <w:pPr>
      <w:keepNext/>
      <w:keepLines/>
      <w:spacing w:before="240"/>
      <w:outlineLvl w:val="0"/>
    </w:pPr>
    <w:rPr>
      <w:rFonts w:ascii="Arial" w:hAnsi="Arial" w:cs="Arial Unicode MS"/>
      <w:b/>
      <w:bCs/>
      <w:color w:val="000000"/>
      <w:sz w:val="32"/>
      <w:szCs w:val="32"/>
      <w:u w:color="000000"/>
    </w:rPr>
  </w:style>
  <w:style w:type="paragraph" w:styleId="Nadpis2">
    <w:name w:val="heading 2"/>
    <w:next w:val="Normln"/>
    <w:link w:val="Nadpis2Char"/>
    <w:uiPriority w:val="9"/>
    <w:unhideWhenUsed/>
    <w:qFormat/>
    <w:rsid w:val="00F13023"/>
    <w:pPr>
      <w:keepNext/>
      <w:keepLines/>
      <w:spacing w:before="40"/>
      <w:outlineLvl w:val="1"/>
    </w:pPr>
    <w:rPr>
      <w:rFonts w:ascii="Arial" w:hAnsi="Arial" w:cs="Arial Unicode MS"/>
      <w:b/>
      <w:bCs/>
      <w:color w:val="000000"/>
      <w:sz w:val="28"/>
      <w:szCs w:val="28"/>
      <w:u w:color="000000"/>
    </w:rPr>
  </w:style>
  <w:style w:type="paragraph" w:styleId="Nadpis3">
    <w:name w:val="heading 3"/>
    <w:basedOn w:val="Normln"/>
    <w:next w:val="Normln"/>
    <w:link w:val="Nadpis3Char"/>
    <w:uiPriority w:val="9"/>
    <w:unhideWhenUsed/>
    <w:qFormat/>
    <w:rsid w:val="00E87D1E"/>
    <w:pPr>
      <w:spacing w:after="240"/>
      <w:jc w:val="both"/>
      <w:outlineLvl w:val="2"/>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13023"/>
    <w:rPr>
      <w:u w:val="single"/>
    </w:rPr>
  </w:style>
  <w:style w:type="table" w:customStyle="1" w:styleId="TableNormal">
    <w:name w:val="Table Normal"/>
    <w:rsid w:val="00F13023"/>
    <w:tblPr>
      <w:tblInd w:w="0" w:type="dxa"/>
      <w:tblCellMar>
        <w:top w:w="0" w:type="dxa"/>
        <w:left w:w="0" w:type="dxa"/>
        <w:bottom w:w="0" w:type="dxa"/>
        <w:right w:w="0" w:type="dxa"/>
      </w:tblCellMar>
    </w:tblPr>
  </w:style>
  <w:style w:type="paragraph" w:customStyle="1" w:styleId="Zhlavazpat">
    <w:name w:val="Záhlaví a zápatí"/>
    <w:rsid w:val="00F13023"/>
    <w:pPr>
      <w:tabs>
        <w:tab w:val="right" w:pos="9020"/>
      </w:tabs>
    </w:pPr>
    <w:rPr>
      <w:rFonts w:ascii="Helvetica Neue" w:hAnsi="Helvetica Neue" w:cs="Arial Unicode MS"/>
      <w:color w:val="000000"/>
      <w:sz w:val="24"/>
      <w:szCs w:val="24"/>
    </w:rPr>
  </w:style>
  <w:style w:type="character" w:customStyle="1" w:styleId="dn">
    <w:name w:val="Žádný"/>
    <w:rsid w:val="00F13023"/>
  </w:style>
  <w:style w:type="paragraph" w:styleId="Odstavecseseznamem">
    <w:name w:val="List Paragraph"/>
    <w:basedOn w:val="Normln"/>
    <w:uiPriority w:val="34"/>
    <w:qFormat/>
    <w:rsid w:val="00806F91"/>
    <w:pPr>
      <w:ind w:left="720"/>
      <w:contextualSpacing/>
    </w:pPr>
  </w:style>
  <w:style w:type="paragraph" w:styleId="Zhlav">
    <w:name w:val="header"/>
    <w:basedOn w:val="Normln"/>
    <w:link w:val="ZhlavChar"/>
    <w:uiPriority w:val="99"/>
    <w:unhideWhenUsed/>
    <w:rsid w:val="00E562AB"/>
    <w:pPr>
      <w:tabs>
        <w:tab w:val="center" w:pos="4536"/>
        <w:tab w:val="right" w:pos="9072"/>
      </w:tabs>
    </w:pPr>
  </w:style>
  <w:style w:type="character" w:customStyle="1" w:styleId="ZhlavChar">
    <w:name w:val="Záhlaví Char"/>
    <w:basedOn w:val="Standardnpsmoodstavce"/>
    <w:link w:val="Zhlav"/>
    <w:uiPriority w:val="99"/>
    <w:rsid w:val="00E562AB"/>
    <w:rPr>
      <w:rFonts w:cs="Arial Unicode MS"/>
      <w:color w:val="000000"/>
      <w:sz w:val="24"/>
      <w:szCs w:val="24"/>
      <w:u w:color="000000"/>
    </w:rPr>
  </w:style>
  <w:style w:type="paragraph" w:styleId="Zpat">
    <w:name w:val="footer"/>
    <w:basedOn w:val="Normln"/>
    <w:link w:val="ZpatChar"/>
    <w:uiPriority w:val="99"/>
    <w:unhideWhenUsed/>
    <w:rsid w:val="00E562AB"/>
    <w:pPr>
      <w:tabs>
        <w:tab w:val="center" w:pos="4536"/>
        <w:tab w:val="right" w:pos="9072"/>
      </w:tabs>
    </w:pPr>
  </w:style>
  <w:style w:type="character" w:customStyle="1" w:styleId="ZpatChar">
    <w:name w:val="Zápatí Char"/>
    <w:basedOn w:val="Standardnpsmoodstavce"/>
    <w:link w:val="Zpat"/>
    <w:uiPriority w:val="99"/>
    <w:rsid w:val="00E562AB"/>
    <w:rPr>
      <w:rFonts w:cs="Arial Unicode MS"/>
      <w:color w:val="000000"/>
      <w:sz w:val="24"/>
      <w:szCs w:val="24"/>
      <w:u w:color="000000"/>
    </w:rPr>
  </w:style>
  <w:style w:type="character" w:styleId="Siln">
    <w:name w:val="Strong"/>
    <w:basedOn w:val="Standardnpsmoodstavce"/>
    <w:uiPriority w:val="22"/>
    <w:qFormat/>
    <w:rsid w:val="004F6A90"/>
    <w:rPr>
      <w:b/>
      <w:bCs/>
    </w:rPr>
  </w:style>
  <w:style w:type="paragraph" w:styleId="Normlnweb">
    <w:name w:val="Normal (Web)"/>
    <w:basedOn w:val="Normln"/>
    <w:uiPriority w:val="99"/>
    <w:unhideWhenUsed/>
    <w:rsid w:val="004F6A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Nadpis2Char">
    <w:name w:val="Nadpis 2 Char"/>
    <w:basedOn w:val="Standardnpsmoodstavce"/>
    <w:link w:val="Nadpis2"/>
    <w:uiPriority w:val="9"/>
    <w:rsid w:val="001A7E28"/>
    <w:rPr>
      <w:rFonts w:ascii="Arial" w:hAnsi="Arial" w:cs="Arial Unicode MS"/>
      <w:b/>
      <w:bCs/>
      <w:color w:val="000000"/>
      <w:sz w:val="28"/>
      <w:szCs w:val="28"/>
      <w:u w:color="000000"/>
    </w:rPr>
  </w:style>
  <w:style w:type="character" w:customStyle="1" w:styleId="Nadpis3Char">
    <w:name w:val="Nadpis 3 Char"/>
    <w:basedOn w:val="Standardnpsmoodstavce"/>
    <w:link w:val="Nadpis3"/>
    <w:uiPriority w:val="9"/>
    <w:rsid w:val="00E87D1E"/>
    <w:rPr>
      <w:rFonts w:ascii="Arial" w:hAnsi="Arial" w:cs="Arial"/>
      <w:b/>
      <w:bCs/>
      <w:color w:val="000000"/>
      <w:sz w:val="24"/>
      <w:szCs w:val="24"/>
      <w:u w:color="000000"/>
    </w:rPr>
  </w:style>
  <w:style w:type="character" w:styleId="Sledovanodkaz">
    <w:name w:val="FollowedHyperlink"/>
    <w:basedOn w:val="Standardnpsmoodstavce"/>
    <w:uiPriority w:val="99"/>
    <w:semiHidden/>
    <w:unhideWhenUsed/>
    <w:rsid w:val="00712B31"/>
    <w:rPr>
      <w:color w:val="FF00FF" w:themeColor="followedHyperlink"/>
      <w:u w:val="single"/>
    </w:rPr>
  </w:style>
  <w:style w:type="paragraph" w:styleId="Textpoznpodarou">
    <w:name w:val="footnote text"/>
    <w:basedOn w:val="Normln"/>
    <w:link w:val="TextpoznpodarouChar"/>
    <w:uiPriority w:val="99"/>
    <w:semiHidden/>
    <w:unhideWhenUsed/>
    <w:rsid w:val="007124B5"/>
    <w:rPr>
      <w:sz w:val="20"/>
      <w:szCs w:val="20"/>
    </w:rPr>
  </w:style>
  <w:style w:type="character" w:customStyle="1" w:styleId="TextpoznpodarouChar">
    <w:name w:val="Text pozn. pod čarou Char"/>
    <w:basedOn w:val="Standardnpsmoodstavce"/>
    <w:link w:val="Textpoznpodarou"/>
    <w:uiPriority w:val="99"/>
    <w:semiHidden/>
    <w:rsid w:val="007124B5"/>
    <w:rPr>
      <w:rFonts w:cs="Arial Unicode MS"/>
      <w:color w:val="000000"/>
      <w:u w:color="000000"/>
    </w:rPr>
  </w:style>
  <w:style w:type="character" w:styleId="Znakapoznpodarou">
    <w:name w:val="footnote reference"/>
    <w:aliases w:val="BVI fnr,Footnote symbol"/>
    <w:basedOn w:val="Standardnpsmoodstavce"/>
    <w:uiPriority w:val="99"/>
    <w:unhideWhenUsed/>
    <w:rsid w:val="007124B5"/>
    <w:rPr>
      <w:vertAlign w:val="superscript"/>
    </w:rPr>
  </w:style>
  <w:style w:type="paragraph" w:customStyle="1" w:styleId="-wm-msonormal">
    <w:name w:val="-wm-msonormal"/>
    <w:basedOn w:val="Normln"/>
    <w:rsid w:val="004A15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s="Times New Roman"/>
      <w:color w:val="auto"/>
      <w:bdr w:val="none" w:sz="0" w:space="0" w:color="auto"/>
    </w:rPr>
  </w:style>
  <w:style w:type="character" w:customStyle="1" w:styleId="Nadpis1Char">
    <w:name w:val="Nadpis 1 Char"/>
    <w:basedOn w:val="Standardnpsmoodstavce"/>
    <w:link w:val="Nadpis1"/>
    <w:uiPriority w:val="9"/>
    <w:rsid w:val="00863DF3"/>
    <w:rPr>
      <w:rFonts w:ascii="Arial" w:hAnsi="Arial" w:cs="Arial Unicode MS"/>
      <w:b/>
      <w:bCs/>
      <w:color w:val="000000"/>
      <w:sz w:val="32"/>
      <w:szCs w:val="32"/>
      <w:u w:color="000000"/>
    </w:rPr>
  </w:style>
  <w:style w:type="character" w:customStyle="1" w:styleId="Nevyeenzmnka1">
    <w:name w:val="Nevyřešená zmínka1"/>
    <w:basedOn w:val="Standardnpsmoodstavce"/>
    <w:uiPriority w:val="99"/>
    <w:semiHidden/>
    <w:unhideWhenUsed/>
    <w:rsid w:val="00314A4C"/>
    <w:rPr>
      <w:color w:val="605E5C"/>
      <w:shd w:val="clear" w:color="auto" w:fill="E1DFDD"/>
    </w:rPr>
  </w:style>
  <w:style w:type="table" w:styleId="Mkatabulky">
    <w:name w:val="Table Grid"/>
    <w:basedOn w:val="Normlntabulka"/>
    <w:uiPriority w:val="39"/>
    <w:rsid w:val="00813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FA6C4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theme="minorBidi"/>
      <w:color w:val="auto"/>
      <w:szCs w:val="21"/>
      <w:bdr w:val="none" w:sz="0" w:space="0" w:color="auto"/>
      <w:lang w:eastAsia="en-US"/>
    </w:rPr>
  </w:style>
  <w:style w:type="character" w:customStyle="1" w:styleId="ProsttextChar">
    <w:name w:val="Prostý text Char"/>
    <w:basedOn w:val="Standardnpsmoodstavce"/>
    <w:link w:val="Prosttext"/>
    <w:uiPriority w:val="99"/>
    <w:rsid w:val="00FA6C4D"/>
    <w:rPr>
      <w:rFonts w:ascii="Arial" w:eastAsia="Times New Roman" w:hAnsi="Arial" w:cstheme="minorBidi"/>
      <w:sz w:val="24"/>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886">
      <w:bodyDiv w:val="1"/>
      <w:marLeft w:val="0"/>
      <w:marRight w:val="0"/>
      <w:marTop w:val="0"/>
      <w:marBottom w:val="0"/>
      <w:divBdr>
        <w:top w:val="none" w:sz="0" w:space="0" w:color="auto"/>
        <w:left w:val="none" w:sz="0" w:space="0" w:color="auto"/>
        <w:bottom w:val="none" w:sz="0" w:space="0" w:color="auto"/>
        <w:right w:val="none" w:sz="0" w:space="0" w:color="auto"/>
      </w:divBdr>
    </w:div>
    <w:div w:id="94373567">
      <w:bodyDiv w:val="1"/>
      <w:marLeft w:val="0"/>
      <w:marRight w:val="0"/>
      <w:marTop w:val="0"/>
      <w:marBottom w:val="0"/>
      <w:divBdr>
        <w:top w:val="none" w:sz="0" w:space="0" w:color="auto"/>
        <w:left w:val="none" w:sz="0" w:space="0" w:color="auto"/>
        <w:bottom w:val="none" w:sz="0" w:space="0" w:color="auto"/>
        <w:right w:val="none" w:sz="0" w:space="0" w:color="auto"/>
      </w:divBdr>
    </w:div>
    <w:div w:id="117603402">
      <w:bodyDiv w:val="1"/>
      <w:marLeft w:val="0"/>
      <w:marRight w:val="0"/>
      <w:marTop w:val="0"/>
      <w:marBottom w:val="0"/>
      <w:divBdr>
        <w:top w:val="none" w:sz="0" w:space="0" w:color="auto"/>
        <w:left w:val="none" w:sz="0" w:space="0" w:color="auto"/>
        <w:bottom w:val="none" w:sz="0" w:space="0" w:color="auto"/>
        <w:right w:val="none" w:sz="0" w:space="0" w:color="auto"/>
      </w:divBdr>
    </w:div>
    <w:div w:id="120466899">
      <w:bodyDiv w:val="1"/>
      <w:marLeft w:val="0"/>
      <w:marRight w:val="0"/>
      <w:marTop w:val="0"/>
      <w:marBottom w:val="0"/>
      <w:divBdr>
        <w:top w:val="none" w:sz="0" w:space="0" w:color="auto"/>
        <w:left w:val="none" w:sz="0" w:space="0" w:color="auto"/>
        <w:bottom w:val="none" w:sz="0" w:space="0" w:color="auto"/>
        <w:right w:val="none" w:sz="0" w:space="0" w:color="auto"/>
      </w:divBdr>
    </w:div>
    <w:div w:id="129249535">
      <w:bodyDiv w:val="1"/>
      <w:marLeft w:val="0"/>
      <w:marRight w:val="0"/>
      <w:marTop w:val="0"/>
      <w:marBottom w:val="0"/>
      <w:divBdr>
        <w:top w:val="none" w:sz="0" w:space="0" w:color="auto"/>
        <w:left w:val="none" w:sz="0" w:space="0" w:color="auto"/>
        <w:bottom w:val="none" w:sz="0" w:space="0" w:color="auto"/>
        <w:right w:val="none" w:sz="0" w:space="0" w:color="auto"/>
      </w:divBdr>
      <w:divsChild>
        <w:div w:id="732389561">
          <w:marLeft w:val="360"/>
          <w:marRight w:val="0"/>
          <w:marTop w:val="200"/>
          <w:marBottom w:val="0"/>
          <w:divBdr>
            <w:top w:val="none" w:sz="0" w:space="0" w:color="auto"/>
            <w:left w:val="none" w:sz="0" w:space="0" w:color="auto"/>
            <w:bottom w:val="none" w:sz="0" w:space="0" w:color="auto"/>
            <w:right w:val="none" w:sz="0" w:space="0" w:color="auto"/>
          </w:divBdr>
        </w:div>
        <w:div w:id="2032296070">
          <w:marLeft w:val="360"/>
          <w:marRight w:val="0"/>
          <w:marTop w:val="200"/>
          <w:marBottom w:val="0"/>
          <w:divBdr>
            <w:top w:val="none" w:sz="0" w:space="0" w:color="auto"/>
            <w:left w:val="none" w:sz="0" w:space="0" w:color="auto"/>
            <w:bottom w:val="none" w:sz="0" w:space="0" w:color="auto"/>
            <w:right w:val="none" w:sz="0" w:space="0" w:color="auto"/>
          </w:divBdr>
        </w:div>
        <w:div w:id="762189130">
          <w:marLeft w:val="360"/>
          <w:marRight w:val="0"/>
          <w:marTop w:val="200"/>
          <w:marBottom w:val="0"/>
          <w:divBdr>
            <w:top w:val="none" w:sz="0" w:space="0" w:color="auto"/>
            <w:left w:val="none" w:sz="0" w:space="0" w:color="auto"/>
            <w:bottom w:val="none" w:sz="0" w:space="0" w:color="auto"/>
            <w:right w:val="none" w:sz="0" w:space="0" w:color="auto"/>
          </w:divBdr>
        </w:div>
        <w:div w:id="13966437">
          <w:marLeft w:val="360"/>
          <w:marRight w:val="0"/>
          <w:marTop w:val="200"/>
          <w:marBottom w:val="0"/>
          <w:divBdr>
            <w:top w:val="none" w:sz="0" w:space="0" w:color="auto"/>
            <w:left w:val="none" w:sz="0" w:space="0" w:color="auto"/>
            <w:bottom w:val="none" w:sz="0" w:space="0" w:color="auto"/>
            <w:right w:val="none" w:sz="0" w:space="0" w:color="auto"/>
          </w:divBdr>
        </w:div>
        <w:div w:id="750203334">
          <w:marLeft w:val="360"/>
          <w:marRight w:val="0"/>
          <w:marTop w:val="200"/>
          <w:marBottom w:val="0"/>
          <w:divBdr>
            <w:top w:val="none" w:sz="0" w:space="0" w:color="auto"/>
            <w:left w:val="none" w:sz="0" w:space="0" w:color="auto"/>
            <w:bottom w:val="none" w:sz="0" w:space="0" w:color="auto"/>
            <w:right w:val="none" w:sz="0" w:space="0" w:color="auto"/>
          </w:divBdr>
        </w:div>
      </w:divsChild>
    </w:div>
    <w:div w:id="158691370">
      <w:bodyDiv w:val="1"/>
      <w:marLeft w:val="0"/>
      <w:marRight w:val="0"/>
      <w:marTop w:val="0"/>
      <w:marBottom w:val="0"/>
      <w:divBdr>
        <w:top w:val="none" w:sz="0" w:space="0" w:color="auto"/>
        <w:left w:val="none" w:sz="0" w:space="0" w:color="auto"/>
        <w:bottom w:val="none" w:sz="0" w:space="0" w:color="auto"/>
        <w:right w:val="none" w:sz="0" w:space="0" w:color="auto"/>
      </w:divBdr>
    </w:div>
    <w:div w:id="166602875">
      <w:bodyDiv w:val="1"/>
      <w:marLeft w:val="0"/>
      <w:marRight w:val="0"/>
      <w:marTop w:val="0"/>
      <w:marBottom w:val="0"/>
      <w:divBdr>
        <w:top w:val="none" w:sz="0" w:space="0" w:color="auto"/>
        <w:left w:val="none" w:sz="0" w:space="0" w:color="auto"/>
        <w:bottom w:val="none" w:sz="0" w:space="0" w:color="auto"/>
        <w:right w:val="none" w:sz="0" w:space="0" w:color="auto"/>
      </w:divBdr>
    </w:div>
    <w:div w:id="210191675">
      <w:bodyDiv w:val="1"/>
      <w:marLeft w:val="0"/>
      <w:marRight w:val="0"/>
      <w:marTop w:val="0"/>
      <w:marBottom w:val="0"/>
      <w:divBdr>
        <w:top w:val="none" w:sz="0" w:space="0" w:color="auto"/>
        <w:left w:val="none" w:sz="0" w:space="0" w:color="auto"/>
        <w:bottom w:val="none" w:sz="0" w:space="0" w:color="auto"/>
        <w:right w:val="none" w:sz="0" w:space="0" w:color="auto"/>
      </w:divBdr>
    </w:div>
    <w:div w:id="226234440">
      <w:bodyDiv w:val="1"/>
      <w:marLeft w:val="0"/>
      <w:marRight w:val="0"/>
      <w:marTop w:val="0"/>
      <w:marBottom w:val="0"/>
      <w:divBdr>
        <w:top w:val="none" w:sz="0" w:space="0" w:color="auto"/>
        <w:left w:val="none" w:sz="0" w:space="0" w:color="auto"/>
        <w:bottom w:val="none" w:sz="0" w:space="0" w:color="auto"/>
        <w:right w:val="none" w:sz="0" w:space="0" w:color="auto"/>
      </w:divBdr>
    </w:div>
    <w:div w:id="298920394">
      <w:bodyDiv w:val="1"/>
      <w:marLeft w:val="0"/>
      <w:marRight w:val="0"/>
      <w:marTop w:val="0"/>
      <w:marBottom w:val="0"/>
      <w:divBdr>
        <w:top w:val="none" w:sz="0" w:space="0" w:color="auto"/>
        <w:left w:val="none" w:sz="0" w:space="0" w:color="auto"/>
        <w:bottom w:val="none" w:sz="0" w:space="0" w:color="auto"/>
        <w:right w:val="none" w:sz="0" w:space="0" w:color="auto"/>
      </w:divBdr>
    </w:div>
    <w:div w:id="309866454">
      <w:bodyDiv w:val="1"/>
      <w:marLeft w:val="0"/>
      <w:marRight w:val="0"/>
      <w:marTop w:val="0"/>
      <w:marBottom w:val="0"/>
      <w:divBdr>
        <w:top w:val="none" w:sz="0" w:space="0" w:color="auto"/>
        <w:left w:val="none" w:sz="0" w:space="0" w:color="auto"/>
        <w:bottom w:val="none" w:sz="0" w:space="0" w:color="auto"/>
        <w:right w:val="none" w:sz="0" w:space="0" w:color="auto"/>
      </w:divBdr>
    </w:div>
    <w:div w:id="313605103">
      <w:bodyDiv w:val="1"/>
      <w:marLeft w:val="0"/>
      <w:marRight w:val="0"/>
      <w:marTop w:val="0"/>
      <w:marBottom w:val="0"/>
      <w:divBdr>
        <w:top w:val="none" w:sz="0" w:space="0" w:color="auto"/>
        <w:left w:val="none" w:sz="0" w:space="0" w:color="auto"/>
        <w:bottom w:val="none" w:sz="0" w:space="0" w:color="auto"/>
        <w:right w:val="none" w:sz="0" w:space="0" w:color="auto"/>
      </w:divBdr>
    </w:div>
    <w:div w:id="434831701">
      <w:bodyDiv w:val="1"/>
      <w:marLeft w:val="0"/>
      <w:marRight w:val="0"/>
      <w:marTop w:val="0"/>
      <w:marBottom w:val="0"/>
      <w:divBdr>
        <w:top w:val="none" w:sz="0" w:space="0" w:color="auto"/>
        <w:left w:val="none" w:sz="0" w:space="0" w:color="auto"/>
        <w:bottom w:val="none" w:sz="0" w:space="0" w:color="auto"/>
        <w:right w:val="none" w:sz="0" w:space="0" w:color="auto"/>
      </w:divBdr>
      <w:divsChild>
        <w:div w:id="1761100324">
          <w:marLeft w:val="0"/>
          <w:marRight w:val="0"/>
          <w:marTop w:val="0"/>
          <w:marBottom w:val="300"/>
          <w:divBdr>
            <w:top w:val="none" w:sz="0" w:space="0" w:color="auto"/>
            <w:left w:val="none" w:sz="0" w:space="0" w:color="auto"/>
            <w:bottom w:val="none" w:sz="0" w:space="0" w:color="auto"/>
            <w:right w:val="none" w:sz="0" w:space="0" w:color="auto"/>
          </w:divBdr>
          <w:divsChild>
            <w:div w:id="1718892324">
              <w:marLeft w:val="0"/>
              <w:marRight w:val="0"/>
              <w:marTop w:val="0"/>
              <w:marBottom w:val="0"/>
              <w:divBdr>
                <w:top w:val="none" w:sz="0" w:space="0" w:color="auto"/>
                <w:left w:val="none" w:sz="0" w:space="0" w:color="auto"/>
                <w:bottom w:val="none" w:sz="0" w:space="0" w:color="auto"/>
                <w:right w:val="none" w:sz="0" w:space="0" w:color="auto"/>
              </w:divBdr>
              <w:divsChild>
                <w:div w:id="11666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8768">
          <w:marLeft w:val="0"/>
          <w:marRight w:val="0"/>
          <w:marTop w:val="150"/>
          <w:marBottom w:val="375"/>
          <w:divBdr>
            <w:top w:val="none" w:sz="0" w:space="0" w:color="auto"/>
            <w:left w:val="none" w:sz="0" w:space="0" w:color="auto"/>
            <w:bottom w:val="none" w:sz="0" w:space="0" w:color="auto"/>
            <w:right w:val="none" w:sz="0" w:space="0" w:color="auto"/>
          </w:divBdr>
        </w:div>
        <w:div w:id="1693609675">
          <w:marLeft w:val="0"/>
          <w:marRight w:val="0"/>
          <w:marTop w:val="0"/>
          <w:marBottom w:val="450"/>
          <w:divBdr>
            <w:top w:val="none" w:sz="0" w:space="0" w:color="auto"/>
            <w:left w:val="none" w:sz="0" w:space="0" w:color="auto"/>
            <w:bottom w:val="none" w:sz="0" w:space="0" w:color="auto"/>
            <w:right w:val="none" w:sz="0" w:space="0" w:color="auto"/>
          </w:divBdr>
          <w:divsChild>
            <w:div w:id="1717730442">
              <w:marLeft w:val="0"/>
              <w:marRight w:val="0"/>
              <w:marTop w:val="0"/>
              <w:marBottom w:val="0"/>
              <w:divBdr>
                <w:top w:val="none" w:sz="0" w:space="0" w:color="auto"/>
                <w:left w:val="none" w:sz="0" w:space="0" w:color="auto"/>
                <w:bottom w:val="none" w:sz="0" w:space="0" w:color="auto"/>
                <w:right w:val="none" w:sz="0" w:space="0" w:color="auto"/>
              </w:divBdr>
              <w:divsChild>
                <w:div w:id="645596406">
                  <w:marLeft w:val="0"/>
                  <w:marRight w:val="0"/>
                  <w:marTop w:val="0"/>
                  <w:marBottom w:val="0"/>
                  <w:divBdr>
                    <w:top w:val="none" w:sz="0" w:space="0" w:color="auto"/>
                    <w:left w:val="none" w:sz="0" w:space="0" w:color="auto"/>
                    <w:bottom w:val="none" w:sz="0" w:space="0" w:color="auto"/>
                    <w:right w:val="none" w:sz="0" w:space="0" w:color="auto"/>
                  </w:divBdr>
                  <w:divsChild>
                    <w:div w:id="21184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45349">
          <w:marLeft w:val="0"/>
          <w:marRight w:val="0"/>
          <w:marTop w:val="0"/>
          <w:marBottom w:val="375"/>
          <w:divBdr>
            <w:top w:val="none" w:sz="0" w:space="0" w:color="auto"/>
            <w:left w:val="none" w:sz="0" w:space="0" w:color="auto"/>
            <w:bottom w:val="none" w:sz="0" w:space="0" w:color="auto"/>
            <w:right w:val="none" w:sz="0" w:space="0" w:color="auto"/>
          </w:divBdr>
          <w:divsChild>
            <w:div w:id="881282983">
              <w:marLeft w:val="0"/>
              <w:marRight w:val="0"/>
              <w:marTop w:val="0"/>
              <w:marBottom w:val="300"/>
              <w:divBdr>
                <w:top w:val="none" w:sz="0" w:space="0" w:color="auto"/>
                <w:left w:val="none" w:sz="0" w:space="0" w:color="auto"/>
                <w:bottom w:val="none" w:sz="0" w:space="0" w:color="auto"/>
                <w:right w:val="none" w:sz="0" w:space="0" w:color="auto"/>
              </w:divBdr>
              <w:divsChild>
                <w:div w:id="437261962">
                  <w:marLeft w:val="0"/>
                  <w:marRight w:val="0"/>
                  <w:marTop w:val="0"/>
                  <w:marBottom w:val="0"/>
                  <w:divBdr>
                    <w:top w:val="none" w:sz="0" w:space="0" w:color="auto"/>
                    <w:left w:val="none" w:sz="0" w:space="0" w:color="auto"/>
                    <w:bottom w:val="none" w:sz="0" w:space="0" w:color="auto"/>
                    <w:right w:val="none" w:sz="0" w:space="0" w:color="auto"/>
                  </w:divBdr>
                  <w:divsChild>
                    <w:div w:id="21132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9063">
          <w:marLeft w:val="0"/>
          <w:marRight w:val="0"/>
          <w:marTop w:val="0"/>
          <w:marBottom w:val="375"/>
          <w:divBdr>
            <w:top w:val="none" w:sz="0" w:space="0" w:color="auto"/>
            <w:left w:val="none" w:sz="0" w:space="0" w:color="auto"/>
            <w:bottom w:val="none" w:sz="0" w:space="0" w:color="auto"/>
            <w:right w:val="none" w:sz="0" w:space="0" w:color="auto"/>
          </w:divBdr>
          <w:divsChild>
            <w:div w:id="2017271173">
              <w:marLeft w:val="0"/>
              <w:marRight w:val="0"/>
              <w:marTop w:val="0"/>
              <w:marBottom w:val="300"/>
              <w:divBdr>
                <w:top w:val="none" w:sz="0" w:space="0" w:color="auto"/>
                <w:left w:val="none" w:sz="0" w:space="0" w:color="auto"/>
                <w:bottom w:val="none" w:sz="0" w:space="0" w:color="auto"/>
                <w:right w:val="none" w:sz="0" w:space="0" w:color="auto"/>
              </w:divBdr>
              <w:divsChild>
                <w:div w:id="483590454">
                  <w:marLeft w:val="0"/>
                  <w:marRight w:val="0"/>
                  <w:marTop w:val="0"/>
                  <w:marBottom w:val="0"/>
                  <w:divBdr>
                    <w:top w:val="none" w:sz="0" w:space="0" w:color="auto"/>
                    <w:left w:val="none" w:sz="0" w:space="0" w:color="auto"/>
                    <w:bottom w:val="none" w:sz="0" w:space="0" w:color="auto"/>
                    <w:right w:val="none" w:sz="0" w:space="0" w:color="auto"/>
                  </w:divBdr>
                  <w:divsChild>
                    <w:div w:id="1260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446131">
      <w:bodyDiv w:val="1"/>
      <w:marLeft w:val="0"/>
      <w:marRight w:val="0"/>
      <w:marTop w:val="0"/>
      <w:marBottom w:val="0"/>
      <w:divBdr>
        <w:top w:val="none" w:sz="0" w:space="0" w:color="auto"/>
        <w:left w:val="none" w:sz="0" w:space="0" w:color="auto"/>
        <w:bottom w:val="none" w:sz="0" w:space="0" w:color="auto"/>
        <w:right w:val="none" w:sz="0" w:space="0" w:color="auto"/>
      </w:divBdr>
    </w:div>
    <w:div w:id="604533996">
      <w:bodyDiv w:val="1"/>
      <w:marLeft w:val="0"/>
      <w:marRight w:val="0"/>
      <w:marTop w:val="0"/>
      <w:marBottom w:val="0"/>
      <w:divBdr>
        <w:top w:val="none" w:sz="0" w:space="0" w:color="auto"/>
        <w:left w:val="none" w:sz="0" w:space="0" w:color="auto"/>
        <w:bottom w:val="none" w:sz="0" w:space="0" w:color="auto"/>
        <w:right w:val="none" w:sz="0" w:space="0" w:color="auto"/>
      </w:divBdr>
    </w:div>
    <w:div w:id="640765012">
      <w:bodyDiv w:val="1"/>
      <w:marLeft w:val="0"/>
      <w:marRight w:val="0"/>
      <w:marTop w:val="0"/>
      <w:marBottom w:val="0"/>
      <w:divBdr>
        <w:top w:val="none" w:sz="0" w:space="0" w:color="auto"/>
        <w:left w:val="none" w:sz="0" w:space="0" w:color="auto"/>
        <w:bottom w:val="none" w:sz="0" w:space="0" w:color="auto"/>
        <w:right w:val="none" w:sz="0" w:space="0" w:color="auto"/>
      </w:divBdr>
    </w:div>
    <w:div w:id="693847708">
      <w:bodyDiv w:val="1"/>
      <w:marLeft w:val="0"/>
      <w:marRight w:val="0"/>
      <w:marTop w:val="0"/>
      <w:marBottom w:val="0"/>
      <w:divBdr>
        <w:top w:val="none" w:sz="0" w:space="0" w:color="auto"/>
        <w:left w:val="none" w:sz="0" w:space="0" w:color="auto"/>
        <w:bottom w:val="none" w:sz="0" w:space="0" w:color="auto"/>
        <w:right w:val="none" w:sz="0" w:space="0" w:color="auto"/>
      </w:divBdr>
      <w:divsChild>
        <w:div w:id="288629728">
          <w:marLeft w:val="0"/>
          <w:marRight w:val="0"/>
          <w:marTop w:val="0"/>
          <w:marBottom w:val="0"/>
          <w:divBdr>
            <w:top w:val="none" w:sz="0" w:space="0" w:color="auto"/>
            <w:left w:val="none" w:sz="0" w:space="0" w:color="auto"/>
            <w:bottom w:val="none" w:sz="0" w:space="0" w:color="auto"/>
            <w:right w:val="none" w:sz="0" w:space="0" w:color="auto"/>
          </w:divBdr>
          <w:divsChild>
            <w:div w:id="1495678213">
              <w:marLeft w:val="0"/>
              <w:marRight w:val="0"/>
              <w:marTop w:val="0"/>
              <w:marBottom w:val="450"/>
              <w:divBdr>
                <w:top w:val="none" w:sz="0" w:space="0" w:color="auto"/>
                <w:left w:val="none" w:sz="0" w:space="0" w:color="auto"/>
                <w:bottom w:val="none" w:sz="0" w:space="0" w:color="auto"/>
                <w:right w:val="none" w:sz="0" w:space="0" w:color="auto"/>
              </w:divBdr>
              <w:divsChild>
                <w:div w:id="1202864422">
                  <w:marLeft w:val="0"/>
                  <w:marRight w:val="0"/>
                  <w:marTop w:val="0"/>
                  <w:marBottom w:val="0"/>
                  <w:divBdr>
                    <w:top w:val="none" w:sz="0" w:space="0" w:color="auto"/>
                    <w:left w:val="none" w:sz="0" w:space="0" w:color="auto"/>
                    <w:bottom w:val="none" w:sz="0" w:space="0" w:color="auto"/>
                    <w:right w:val="none" w:sz="0" w:space="0" w:color="auto"/>
                  </w:divBdr>
                  <w:divsChild>
                    <w:div w:id="1409619498">
                      <w:marLeft w:val="0"/>
                      <w:marRight w:val="0"/>
                      <w:marTop w:val="0"/>
                      <w:marBottom w:val="0"/>
                      <w:divBdr>
                        <w:top w:val="none" w:sz="0" w:space="0" w:color="auto"/>
                        <w:left w:val="none" w:sz="0" w:space="0" w:color="auto"/>
                        <w:bottom w:val="none" w:sz="0" w:space="0" w:color="auto"/>
                        <w:right w:val="none" w:sz="0" w:space="0" w:color="auto"/>
                      </w:divBdr>
                      <w:divsChild>
                        <w:div w:id="9263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912032">
      <w:bodyDiv w:val="1"/>
      <w:marLeft w:val="0"/>
      <w:marRight w:val="0"/>
      <w:marTop w:val="0"/>
      <w:marBottom w:val="0"/>
      <w:divBdr>
        <w:top w:val="none" w:sz="0" w:space="0" w:color="auto"/>
        <w:left w:val="none" w:sz="0" w:space="0" w:color="auto"/>
        <w:bottom w:val="none" w:sz="0" w:space="0" w:color="auto"/>
        <w:right w:val="none" w:sz="0" w:space="0" w:color="auto"/>
      </w:divBdr>
    </w:div>
    <w:div w:id="832182272">
      <w:bodyDiv w:val="1"/>
      <w:marLeft w:val="0"/>
      <w:marRight w:val="0"/>
      <w:marTop w:val="0"/>
      <w:marBottom w:val="0"/>
      <w:divBdr>
        <w:top w:val="none" w:sz="0" w:space="0" w:color="auto"/>
        <w:left w:val="none" w:sz="0" w:space="0" w:color="auto"/>
        <w:bottom w:val="none" w:sz="0" w:space="0" w:color="auto"/>
        <w:right w:val="none" w:sz="0" w:space="0" w:color="auto"/>
      </w:divBdr>
    </w:div>
    <w:div w:id="834027099">
      <w:bodyDiv w:val="1"/>
      <w:marLeft w:val="0"/>
      <w:marRight w:val="0"/>
      <w:marTop w:val="0"/>
      <w:marBottom w:val="0"/>
      <w:divBdr>
        <w:top w:val="none" w:sz="0" w:space="0" w:color="auto"/>
        <w:left w:val="none" w:sz="0" w:space="0" w:color="auto"/>
        <w:bottom w:val="none" w:sz="0" w:space="0" w:color="auto"/>
        <w:right w:val="none" w:sz="0" w:space="0" w:color="auto"/>
      </w:divBdr>
    </w:div>
    <w:div w:id="1023167292">
      <w:bodyDiv w:val="1"/>
      <w:marLeft w:val="0"/>
      <w:marRight w:val="0"/>
      <w:marTop w:val="0"/>
      <w:marBottom w:val="0"/>
      <w:divBdr>
        <w:top w:val="none" w:sz="0" w:space="0" w:color="auto"/>
        <w:left w:val="none" w:sz="0" w:space="0" w:color="auto"/>
        <w:bottom w:val="none" w:sz="0" w:space="0" w:color="auto"/>
        <w:right w:val="none" w:sz="0" w:space="0" w:color="auto"/>
      </w:divBdr>
    </w:div>
    <w:div w:id="1026058687">
      <w:bodyDiv w:val="1"/>
      <w:marLeft w:val="0"/>
      <w:marRight w:val="0"/>
      <w:marTop w:val="0"/>
      <w:marBottom w:val="0"/>
      <w:divBdr>
        <w:top w:val="none" w:sz="0" w:space="0" w:color="auto"/>
        <w:left w:val="none" w:sz="0" w:space="0" w:color="auto"/>
        <w:bottom w:val="none" w:sz="0" w:space="0" w:color="auto"/>
        <w:right w:val="none" w:sz="0" w:space="0" w:color="auto"/>
      </w:divBdr>
    </w:div>
    <w:div w:id="1061292042">
      <w:bodyDiv w:val="1"/>
      <w:marLeft w:val="0"/>
      <w:marRight w:val="0"/>
      <w:marTop w:val="0"/>
      <w:marBottom w:val="0"/>
      <w:divBdr>
        <w:top w:val="none" w:sz="0" w:space="0" w:color="auto"/>
        <w:left w:val="none" w:sz="0" w:space="0" w:color="auto"/>
        <w:bottom w:val="none" w:sz="0" w:space="0" w:color="auto"/>
        <w:right w:val="none" w:sz="0" w:space="0" w:color="auto"/>
      </w:divBdr>
    </w:div>
    <w:div w:id="1111970427">
      <w:bodyDiv w:val="1"/>
      <w:marLeft w:val="0"/>
      <w:marRight w:val="0"/>
      <w:marTop w:val="0"/>
      <w:marBottom w:val="0"/>
      <w:divBdr>
        <w:top w:val="none" w:sz="0" w:space="0" w:color="auto"/>
        <w:left w:val="none" w:sz="0" w:space="0" w:color="auto"/>
        <w:bottom w:val="none" w:sz="0" w:space="0" w:color="auto"/>
        <w:right w:val="none" w:sz="0" w:space="0" w:color="auto"/>
      </w:divBdr>
    </w:div>
    <w:div w:id="1145201624">
      <w:bodyDiv w:val="1"/>
      <w:marLeft w:val="0"/>
      <w:marRight w:val="0"/>
      <w:marTop w:val="0"/>
      <w:marBottom w:val="0"/>
      <w:divBdr>
        <w:top w:val="none" w:sz="0" w:space="0" w:color="auto"/>
        <w:left w:val="none" w:sz="0" w:space="0" w:color="auto"/>
        <w:bottom w:val="none" w:sz="0" w:space="0" w:color="auto"/>
        <w:right w:val="none" w:sz="0" w:space="0" w:color="auto"/>
      </w:divBdr>
    </w:div>
    <w:div w:id="1158614604">
      <w:bodyDiv w:val="1"/>
      <w:marLeft w:val="0"/>
      <w:marRight w:val="0"/>
      <w:marTop w:val="0"/>
      <w:marBottom w:val="0"/>
      <w:divBdr>
        <w:top w:val="none" w:sz="0" w:space="0" w:color="auto"/>
        <w:left w:val="none" w:sz="0" w:space="0" w:color="auto"/>
        <w:bottom w:val="none" w:sz="0" w:space="0" w:color="auto"/>
        <w:right w:val="none" w:sz="0" w:space="0" w:color="auto"/>
      </w:divBdr>
    </w:div>
    <w:div w:id="1250044481">
      <w:bodyDiv w:val="1"/>
      <w:marLeft w:val="0"/>
      <w:marRight w:val="0"/>
      <w:marTop w:val="0"/>
      <w:marBottom w:val="0"/>
      <w:divBdr>
        <w:top w:val="none" w:sz="0" w:space="0" w:color="auto"/>
        <w:left w:val="none" w:sz="0" w:space="0" w:color="auto"/>
        <w:bottom w:val="none" w:sz="0" w:space="0" w:color="auto"/>
        <w:right w:val="none" w:sz="0" w:space="0" w:color="auto"/>
      </w:divBdr>
      <w:divsChild>
        <w:div w:id="2140878187">
          <w:marLeft w:val="0"/>
          <w:marRight w:val="0"/>
          <w:marTop w:val="0"/>
          <w:marBottom w:val="300"/>
          <w:divBdr>
            <w:top w:val="none" w:sz="0" w:space="0" w:color="auto"/>
            <w:left w:val="none" w:sz="0" w:space="0" w:color="auto"/>
            <w:bottom w:val="none" w:sz="0" w:space="0" w:color="auto"/>
            <w:right w:val="none" w:sz="0" w:space="0" w:color="auto"/>
          </w:divBdr>
          <w:divsChild>
            <w:div w:id="849024151">
              <w:marLeft w:val="0"/>
              <w:marRight w:val="0"/>
              <w:marTop w:val="0"/>
              <w:marBottom w:val="0"/>
              <w:divBdr>
                <w:top w:val="none" w:sz="0" w:space="0" w:color="auto"/>
                <w:left w:val="none" w:sz="0" w:space="0" w:color="auto"/>
                <w:bottom w:val="none" w:sz="0" w:space="0" w:color="auto"/>
                <w:right w:val="none" w:sz="0" w:space="0" w:color="auto"/>
              </w:divBdr>
              <w:divsChild>
                <w:div w:id="13748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5243">
          <w:marLeft w:val="0"/>
          <w:marRight w:val="0"/>
          <w:marTop w:val="150"/>
          <w:marBottom w:val="375"/>
          <w:divBdr>
            <w:top w:val="none" w:sz="0" w:space="0" w:color="auto"/>
            <w:left w:val="none" w:sz="0" w:space="0" w:color="auto"/>
            <w:bottom w:val="none" w:sz="0" w:space="0" w:color="auto"/>
            <w:right w:val="none" w:sz="0" w:space="0" w:color="auto"/>
          </w:divBdr>
        </w:div>
        <w:div w:id="746612304">
          <w:marLeft w:val="0"/>
          <w:marRight w:val="0"/>
          <w:marTop w:val="0"/>
          <w:marBottom w:val="450"/>
          <w:divBdr>
            <w:top w:val="none" w:sz="0" w:space="0" w:color="auto"/>
            <w:left w:val="none" w:sz="0" w:space="0" w:color="auto"/>
            <w:bottom w:val="none" w:sz="0" w:space="0" w:color="auto"/>
            <w:right w:val="none" w:sz="0" w:space="0" w:color="auto"/>
          </w:divBdr>
          <w:divsChild>
            <w:div w:id="1688560588">
              <w:marLeft w:val="0"/>
              <w:marRight w:val="0"/>
              <w:marTop w:val="0"/>
              <w:marBottom w:val="0"/>
              <w:divBdr>
                <w:top w:val="none" w:sz="0" w:space="0" w:color="auto"/>
                <w:left w:val="none" w:sz="0" w:space="0" w:color="auto"/>
                <w:bottom w:val="none" w:sz="0" w:space="0" w:color="auto"/>
                <w:right w:val="none" w:sz="0" w:space="0" w:color="auto"/>
              </w:divBdr>
              <w:divsChild>
                <w:div w:id="1069620509">
                  <w:marLeft w:val="0"/>
                  <w:marRight w:val="0"/>
                  <w:marTop w:val="0"/>
                  <w:marBottom w:val="0"/>
                  <w:divBdr>
                    <w:top w:val="none" w:sz="0" w:space="0" w:color="auto"/>
                    <w:left w:val="none" w:sz="0" w:space="0" w:color="auto"/>
                    <w:bottom w:val="none" w:sz="0" w:space="0" w:color="auto"/>
                    <w:right w:val="none" w:sz="0" w:space="0" w:color="auto"/>
                  </w:divBdr>
                  <w:divsChild>
                    <w:div w:id="10488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14371">
          <w:marLeft w:val="0"/>
          <w:marRight w:val="0"/>
          <w:marTop w:val="0"/>
          <w:marBottom w:val="375"/>
          <w:divBdr>
            <w:top w:val="none" w:sz="0" w:space="0" w:color="auto"/>
            <w:left w:val="none" w:sz="0" w:space="0" w:color="auto"/>
            <w:bottom w:val="none" w:sz="0" w:space="0" w:color="auto"/>
            <w:right w:val="none" w:sz="0" w:space="0" w:color="auto"/>
          </w:divBdr>
          <w:divsChild>
            <w:div w:id="473065388">
              <w:marLeft w:val="0"/>
              <w:marRight w:val="0"/>
              <w:marTop w:val="0"/>
              <w:marBottom w:val="300"/>
              <w:divBdr>
                <w:top w:val="none" w:sz="0" w:space="0" w:color="auto"/>
                <w:left w:val="none" w:sz="0" w:space="0" w:color="auto"/>
                <w:bottom w:val="none" w:sz="0" w:space="0" w:color="auto"/>
                <w:right w:val="none" w:sz="0" w:space="0" w:color="auto"/>
              </w:divBdr>
              <w:divsChild>
                <w:div w:id="1888952690">
                  <w:marLeft w:val="0"/>
                  <w:marRight w:val="0"/>
                  <w:marTop w:val="0"/>
                  <w:marBottom w:val="0"/>
                  <w:divBdr>
                    <w:top w:val="none" w:sz="0" w:space="0" w:color="auto"/>
                    <w:left w:val="none" w:sz="0" w:space="0" w:color="auto"/>
                    <w:bottom w:val="none" w:sz="0" w:space="0" w:color="auto"/>
                    <w:right w:val="none" w:sz="0" w:space="0" w:color="auto"/>
                  </w:divBdr>
                  <w:divsChild>
                    <w:div w:id="9700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4848">
          <w:marLeft w:val="0"/>
          <w:marRight w:val="0"/>
          <w:marTop w:val="0"/>
          <w:marBottom w:val="375"/>
          <w:divBdr>
            <w:top w:val="none" w:sz="0" w:space="0" w:color="auto"/>
            <w:left w:val="none" w:sz="0" w:space="0" w:color="auto"/>
            <w:bottom w:val="none" w:sz="0" w:space="0" w:color="auto"/>
            <w:right w:val="none" w:sz="0" w:space="0" w:color="auto"/>
          </w:divBdr>
          <w:divsChild>
            <w:div w:id="1691637641">
              <w:marLeft w:val="0"/>
              <w:marRight w:val="0"/>
              <w:marTop w:val="0"/>
              <w:marBottom w:val="300"/>
              <w:divBdr>
                <w:top w:val="none" w:sz="0" w:space="0" w:color="auto"/>
                <w:left w:val="none" w:sz="0" w:space="0" w:color="auto"/>
                <w:bottom w:val="none" w:sz="0" w:space="0" w:color="auto"/>
                <w:right w:val="none" w:sz="0" w:space="0" w:color="auto"/>
              </w:divBdr>
              <w:divsChild>
                <w:div w:id="1048796609">
                  <w:marLeft w:val="0"/>
                  <w:marRight w:val="0"/>
                  <w:marTop w:val="0"/>
                  <w:marBottom w:val="0"/>
                  <w:divBdr>
                    <w:top w:val="none" w:sz="0" w:space="0" w:color="auto"/>
                    <w:left w:val="none" w:sz="0" w:space="0" w:color="auto"/>
                    <w:bottom w:val="none" w:sz="0" w:space="0" w:color="auto"/>
                    <w:right w:val="none" w:sz="0" w:space="0" w:color="auto"/>
                  </w:divBdr>
                  <w:divsChild>
                    <w:div w:id="7083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249">
      <w:bodyDiv w:val="1"/>
      <w:marLeft w:val="0"/>
      <w:marRight w:val="0"/>
      <w:marTop w:val="0"/>
      <w:marBottom w:val="0"/>
      <w:divBdr>
        <w:top w:val="none" w:sz="0" w:space="0" w:color="auto"/>
        <w:left w:val="none" w:sz="0" w:space="0" w:color="auto"/>
        <w:bottom w:val="none" w:sz="0" w:space="0" w:color="auto"/>
        <w:right w:val="none" w:sz="0" w:space="0" w:color="auto"/>
      </w:divBdr>
    </w:div>
    <w:div w:id="1299921661">
      <w:bodyDiv w:val="1"/>
      <w:marLeft w:val="0"/>
      <w:marRight w:val="0"/>
      <w:marTop w:val="0"/>
      <w:marBottom w:val="0"/>
      <w:divBdr>
        <w:top w:val="none" w:sz="0" w:space="0" w:color="auto"/>
        <w:left w:val="none" w:sz="0" w:space="0" w:color="auto"/>
        <w:bottom w:val="none" w:sz="0" w:space="0" w:color="auto"/>
        <w:right w:val="none" w:sz="0" w:space="0" w:color="auto"/>
      </w:divBdr>
      <w:divsChild>
        <w:div w:id="1016422385">
          <w:marLeft w:val="0"/>
          <w:marRight w:val="0"/>
          <w:marTop w:val="240"/>
          <w:marBottom w:val="240"/>
          <w:divBdr>
            <w:top w:val="none" w:sz="0" w:space="0" w:color="auto"/>
            <w:left w:val="none" w:sz="0" w:space="0" w:color="auto"/>
            <w:bottom w:val="none" w:sz="0" w:space="0" w:color="auto"/>
            <w:right w:val="none" w:sz="0" w:space="0" w:color="auto"/>
          </w:divBdr>
        </w:div>
      </w:divsChild>
    </w:div>
    <w:div w:id="1314023260">
      <w:bodyDiv w:val="1"/>
      <w:marLeft w:val="0"/>
      <w:marRight w:val="0"/>
      <w:marTop w:val="0"/>
      <w:marBottom w:val="0"/>
      <w:divBdr>
        <w:top w:val="none" w:sz="0" w:space="0" w:color="auto"/>
        <w:left w:val="none" w:sz="0" w:space="0" w:color="auto"/>
        <w:bottom w:val="none" w:sz="0" w:space="0" w:color="auto"/>
        <w:right w:val="none" w:sz="0" w:space="0" w:color="auto"/>
      </w:divBdr>
    </w:div>
    <w:div w:id="1323662350">
      <w:bodyDiv w:val="1"/>
      <w:marLeft w:val="0"/>
      <w:marRight w:val="0"/>
      <w:marTop w:val="0"/>
      <w:marBottom w:val="0"/>
      <w:divBdr>
        <w:top w:val="none" w:sz="0" w:space="0" w:color="auto"/>
        <w:left w:val="none" w:sz="0" w:space="0" w:color="auto"/>
        <w:bottom w:val="none" w:sz="0" w:space="0" w:color="auto"/>
        <w:right w:val="none" w:sz="0" w:space="0" w:color="auto"/>
      </w:divBdr>
    </w:div>
    <w:div w:id="1466699881">
      <w:bodyDiv w:val="1"/>
      <w:marLeft w:val="0"/>
      <w:marRight w:val="0"/>
      <w:marTop w:val="0"/>
      <w:marBottom w:val="0"/>
      <w:divBdr>
        <w:top w:val="none" w:sz="0" w:space="0" w:color="auto"/>
        <w:left w:val="none" w:sz="0" w:space="0" w:color="auto"/>
        <w:bottom w:val="none" w:sz="0" w:space="0" w:color="auto"/>
        <w:right w:val="none" w:sz="0" w:space="0" w:color="auto"/>
      </w:divBdr>
    </w:div>
    <w:div w:id="1489635013">
      <w:bodyDiv w:val="1"/>
      <w:marLeft w:val="0"/>
      <w:marRight w:val="0"/>
      <w:marTop w:val="0"/>
      <w:marBottom w:val="0"/>
      <w:divBdr>
        <w:top w:val="none" w:sz="0" w:space="0" w:color="auto"/>
        <w:left w:val="none" w:sz="0" w:space="0" w:color="auto"/>
        <w:bottom w:val="none" w:sz="0" w:space="0" w:color="auto"/>
        <w:right w:val="none" w:sz="0" w:space="0" w:color="auto"/>
      </w:divBdr>
    </w:div>
    <w:div w:id="1508247089">
      <w:bodyDiv w:val="1"/>
      <w:marLeft w:val="0"/>
      <w:marRight w:val="0"/>
      <w:marTop w:val="0"/>
      <w:marBottom w:val="0"/>
      <w:divBdr>
        <w:top w:val="none" w:sz="0" w:space="0" w:color="auto"/>
        <w:left w:val="none" w:sz="0" w:space="0" w:color="auto"/>
        <w:bottom w:val="none" w:sz="0" w:space="0" w:color="auto"/>
        <w:right w:val="none" w:sz="0" w:space="0" w:color="auto"/>
      </w:divBdr>
    </w:div>
    <w:div w:id="1519544455">
      <w:bodyDiv w:val="1"/>
      <w:marLeft w:val="0"/>
      <w:marRight w:val="0"/>
      <w:marTop w:val="0"/>
      <w:marBottom w:val="0"/>
      <w:divBdr>
        <w:top w:val="none" w:sz="0" w:space="0" w:color="auto"/>
        <w:left w:val="none" w:sz="0" w:space="0" w:color="auto"/>
        <w:bottom w:val="none" w:sz="0" w:space="0" w:color="auto"/>
        <w:right w:val="none" w:sz="0" w:space="0" w:color="auto"/>
      </w:divBdr>
    </w:div>
    <w:div w:id="1536308331">
      <w:bodyDiv w:val="1"/>
      <w:marLeft w:val="0"/>
      <w:marRight w:val="0"/>
      <w:marTop w:val="0"/>
      <w:marBottom w:val="0"/>
      <w:divBdr>
        <w:top w:val="none" w:sz="0" w:space="0" w:color="auto"/>
        <w:left w:val="none" w:sz="0" w:space="0" w:color="auto"/>
        <w:bottom w:val="none" w:sz="0" w:space="0" w:color="auto"/>
        <w:right w:val="none" w:sz="0" w:space="0" w:color="auto"/>
      </w:divBdr>
    </w:div>
    <w:div w:id="1569880471">
      <w:bodyDiv w:val="1"/>
      <w:marLeft w:val="0"/>
      <w:marRight w:val="0"/>
      <w:marTop w:val="0"/>
      <w:marBottom w:val="0"/>
      <w:divBdr>
        <w:top w:val="none" w:sz="0" w:space="0" w:color="auto"/>
        <w:left w:val="none" w:sz="0" w:space="0" w:color="auto"/>
        <w:bottom w:val="none" w:sz="0" w:space="0" w:color="auto"/>
        <w:right w:val="none" w:sz="0" w:space="0" w:color="auto"/>
      </w:divBdr>
    </w:div>
    <w:div w:id="1618022251">
      <w:bodyDiv w:val="1"/>
      <w:marLeft w:val="0"/>
      <w:marRight w:val="0"/>
      <w:marTop w:val="0"/>
      <w:marBottom w:val="0"/>
      <w:divBdr>
        <w:top w:val="none" w:sz="0" w:space="0" w:color="auto"/>
        <w:left w:val="none" w:sz="0" w:space="0" w:color="auto"/>
        <w:bottom w:val="none" w:sz="0" w:space="0" w:color="auto"/>
        <w:right w:val="none" w:sz="0" w:space="0" w:color="auto"/>
      </w:divBdr>
    </w:div>
    <w:div w:id="1625424442">
      <w:bodyDiv w:val="1"/>
      <w:marLeft w:val="0"/>
      <w:marRight w:val="0"/>
      <w:marTop w:val="0"/>
      <w:marBottom w:val="0"/>
      <w:divBdr>
        <w:top w:val="none" w:sz="0" w:space="0" w:color="auto"/>
        <w:left w:val="none" w:sz="0" w:space="0" w:color="auto"/>
        <w:bottom w:val="none" w:sz="0" w:space="0" w:color="auto"/>
        <w:right w:val="none" w:sz="0" w:space="0" w:color="auto"/>
      </w:divBdr>
    </w:div>
    <w:div w:id="1636761935">
      <w:bodyDiv w:val="1"/>
      <w:marLeft w:val="0"/>
      <w:marRight w:val="0"/>
      <w:marTop w:val="0"/>
      <w:marBottom w:val="0"/>
      <w:divBdr>
        <w:top w:val="none" w:sz="0" w:space="0" w:color="auto"/>
        <w:left w:val="none" w:sz="0" w:space="0" w:color="auto"/>
        <w:bottom w:val="none" w:sz="0" w:space="0" w:color="auto"/>
        <w:right w:val="none" w:sz="0" w:space="0" w:color="auto"/>
      </w:divBdr>
    </w:div>
    <w:div w:id="1637641745">
      <w:bodyDiv w:val="1"/>
      <w:marLeft w:val="0"/>
      <w:marRight w:val="0"/>
      <w:marTop w:val="0"/>
      <w:marBottom w:val="0"/>
      <w:divBdr>
        <w:top w:val="none" w:sz="0" w:space="0" w:color="auto"/>
        <w:left w:val="none" w:sz="0" w:space="0" w:color="auto"/>
        <w:bottom w:val="none" w:sz="0" w:space="0" w:color="auto"/>
        <w:right w:val="none" w:sz="0" w:space="0" w:color="auto"/>
      </w:divBdr>
    </w:div>
    <w:div w:id="1637908437">
      <w:bodyDiv w:val="1"/>
      <w:marLeft w:val="0"/>
      <w:marRight w:val="0"/>
      <w:marTop w:val="0"/>
      <w:marBottom w:val="0"/>
      <w:divBdr>
        <w:top w:val="none" w:sz="0" w:space="0" w:color="auto"/>
        <w:left w:val="none" w:sz="0" w:space="0" w:color="auto"/>
        <w:bottom w:val="none" w:sz="0" w:space="0" w:color="auto"/>
        <w:right w:val="none" w:sz="0" w:space="0" w:color="auto"/>
      </w:divBdr>
    </w:div>
    <w:div w:id="1665891134">
      <w:bodyDiv w:val="1"/>
      <w:marLeft w:val="0"/>
      <w:marRight w:val="0"/>
      <w:marTop w:val="0"/>
      <w:marBottom w:val="0"/>
      <w:divBdr>
        <w:top w:val="none" w:sz="0" w:space="0" w:color="auto"/>
        <w:left w:val="none" w:sz="0" w:space="0" w:color="auto"/>
        <w:bottom w:val="none" w:sz="0" w:space="0" w:color="auto"/>
        <w:right w:val="none" w:sz="0" w:space="0" w:color="auto"/>
      </w:divBdr>
    </w:div>
    <w:div w:id="1739784950">
      <w:bodyDiv w:val="1"/>
      <w:marLeft w:val="0"/>
      <w:marRight w:val="0"/>
      <w:marTop w:val="0"/>
      <w:marBottom w:val="0"/>
      <w:divBdr>
        <w:top w:val="none" w:sz="0" w:space="0" w:color="auto"/>
        <w:left w:val="none" w:sz="0" w:space="0" w:color="auto"/>
        <w:bottom w:val="none" w:sz="0" w:space="0" w:color="auto"/>
        <w:right w:val="none" w:sz="0" w:space="0" w:color="auto"/>
      </w:divBdr>
      <w:divsChild>
        <w:div w:id="718676079">
          <w:marLeft w:val="0"/>
          <w:marRight w:val="0"/>
          <w:marTop w:val="0"/>
          <w:marBottom w:val="0"/>
          <w:divBdr>
            <w:top w:val="none" w:sz="0" w:space="0" w:color="auto"/>
            <w:left w:val="none" w:sz="0" w:space="0" w:color="auto"/>
            <w:bottom w:val="none" w:sz="0" w:space="0" w:color="auto"/>
            <w:right w:val="none" w:sz="0" w:space="0" w:color="auto"/>
          </w:divBdr>
          <w:divsChild>
            <w:div w:id="309142054">
              <w:marLeft w:val="0"/>
              <w:marRight w:val="0"/>
              <w:marTop w:val="0"/>
              <w:marBottom w:val="450"/>
              <w:divBdr>
                <w:top w:val="none" w:sz="0" w:space="0" w:color="auto"/>
                <w:left w:val="none" w:sz="0" w:space="0" w:color="auto"/>
                <w:bottom w:val="none" w:sz="0" w:space="0" w:color="auto"/>
                <w:right w:val="none" w:sz="0" w:space="0" w:color="auto"/>
              </w:divBdr>
              <w:divsChild>
                <w:div w:id="839345616">
                  <w:marLeft w:val="0"/>
                  <w:marRight w:val="0"/>
                  <w:marTop w:val="0"/>
                  <w:marBottom w:val="0"/>
                  <w:divBdr>
                    <w:top w:val="none" w:sz="0" w:space="0" w:color="auto"/>
                    <w:left w:val="none" w:sz="0" w:space="0" w:color="auto"/>
                    <w:bottom w:val="none" w:sz="0" w:space="0" w:color="auto"/>
                    <w:right w:val="none" w:sz="0" w:space="0" w:color="auto"/>
                  </w:divBdr>
                  <w:divsChild>
                    <w:div w:id="839077044">
                      <w:marLeft w:val="0"/>
                      <w:marRight w:val="0"/>
                      <w:marTop w:val="0"/>
                      <w:marBottom w:val="0"/>
                      <w:divBdr>
                        <w:top w:val="none" w:sz="0" w:space="0" w:color="auto"/>
                        <w:left w:val="none" w:sz="0" w:space="0" w:color="auto"/>
                        <w:bottom w:val="none" w:sz="0" w:space="0" w:color="auto"/>
                        <w:right w:val="none" w:sz="0" w:space="0" w:color="auto"/>
                      </w:divBdr>
                      <w:divsChild>
                        <w:div w:id="5124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079396">
      <w:bodyDiv w:val="1"/>
      <w:marLeft w:val="0"/>
      <w:marRight w:val="0"/>
      <w:marTop w:val="0"/>
      <w:marBottom w:val="0"/>
      <w:divBdr>
        <w:top w:val="none" w:sz="0" w:space="0" w:color="auto"/>
        <w:left w:val="none" w:sz="0" w:space="0" w:color="auto"/>
        <w:bottom w:val="none" w:sz="0" w:space="0" w:color="auto"/>
        <w:right w:val="none" w:sz="0" w:space="0" w:color="auto"/>
      </w:divBdr>
    </w:div>
    <w:div w:id="1820878861">
      <w:bodyDiv w:val="1"/>
      <w:marLeft w:val="0"/>
      <w:marRight w:val="0"/>
      <w:marTop w:val="0"/>
      <w:marBottom w:val="0"/>
      <w:divBdr>
        <w:top w:val="none" w:sz="0" w:space="0" w:color="auto"/>
        <w:left w:val="none" w:sz="0" w:space="0" w:color="auto"/>
        <w:bottom w:val="none" w:sz="0" w:space="0" w:color="auto"/>
        <w:right w:val="none" w:sz="0" w:space="0" w:color="auto"/>
      </w:divBdr>
      <w:divsChild>
        <w:div w:id="97406338">
          <w:marLeft w:val="360"/>
          <w:marRight w:val="0"/>
          <w:marTop w:val="200"/>
          <w:marBottom w:val="0"/>
          <w:divBdr>
            <w:top w:val="none" w:sz="0" w:space="0" w:color="auto"/>
            <w:left w:val="none" w:sz="0" w:space="0" w:color="auto"/>
            <w:bottom w:val="none" w:sz="0" w:space="0" w:color="auto"/>
            <w:right w:val="none" w:sz="0" w:space="0" w:color="auto"/>
          </w:divBdr>
        </w:div>
        <w:div w:id="1817868790">
          <w:marLeft w:val="360"/>
          <w:marRight w:val="0"/>
          <w:marTop w:val="200"/>
          <w:marBottom w:val="0"/>
          <w:divBdr>
            <w:top w:val="none" w:sz="0" w:space="0" w:color="auto"/>
            <w:left w:val="none" w:sz="0" w:space="0" w:color="auto"/>
            <w:bottom w:val="none" w:sz="0" w:space="0" w:color="auto"/>
            <w:right w:val="none" w:sz="0" w:space="0" w:color="auto"/>
          </w:divBdr>
        </w:div>
      </w:divsChild>
    </w:div>
    <w:div w:id="2035962054">
      <w:bodyDiv w:val="1"/>
      <w:marLeft w:val="0"/>
      <w:marRight w:val="0"/>
      <w:marTop w:val="0"/>
      <w:marBottom w:val="0"/>
      <w:divBdr>
        <w:top w:val="none" w:sz="0" w:space="0" w:color="auto"/>
        <w:left w:val="none" w:sz="0" w:space="0" w:color="auto"/>
        <w:bottom w:val="none" w:sz="0" w:space="0" w:color="auto"/>
        <w:right w:val="none" w:sz="0" w:space="0" w:color="auto"/>
      </w:divBdr>
    </w:div>
    <w:div w:id="2044818202">
      <w:bodyDiv w:val="1"/>
      <w:marLeft w:val="0"/>
      <w:marRight w:val="0"/>
      <w:marTop w:val="0"/>
      <w:marBottom w:val="0"/>
      <w:divBdr>
        <w:top w:val="none" w:sz="0" w:space="0" w:color="auto"/>
        <w:left w:val="none" w:sz="0" w:space="0" w:color="auto"/>
        <w:bottom w:val="none" w:sz="0" w:space="0" w:color="auto"/>
        <w:right w:val="none" w:sz="0" w:space="0" w:color="auto"/>
      </w:divBdr>
    </w:div>
    <w:div w:id="2045784212">
      <w:bodyDiv w:val="1"/>
      <w:marLeft w:val="0"/>
      <w:marRight w:val="0"/>
      <w:marTop w:val="0"/>
      <w:marBottom w:val="0"/>
      <w:divBdr>
        <w:top w:val="none" w:sz="0" w:space="0" w:color="auto"/>
        <w:left w:val="none" w:sz="0" w:space="0" w:color="auto"/>
        <w:bottom w:val="none" w:sz="0" w:space="0" w:color="auto"/>
        <w:right w:val="none" w:sz="0" w:space="0" w:color="auto"/>
      </w:divBdr>
    </w:div>
    <w:div w:id="2085911143">
      <w:bodyDiv w:val="1"/>
      <w:marLeft w:val="0"/>
      <w:marRight w:val="0"/>
      <w:marTop w:val="0"/>
      <w:marBottom w:val="0"/>
      <w:divBdr>
        <w:top w:val="none" w:sz="0" w:space="0" w:color="auto"/>
        <w:left w:val="none" w:sz="0" w:space="0" w:color="auto"/>
        <w:bottom w:val="none" w:sz="0" w:space="0" w:color="auto"/>
        <w:right w:val="none" w:sz="0" w:space="0" w:color="auto"/>
      </w:divBdr>
    </w:div>
    <w:div w:id="2138529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maxalfa.cz/odmena-notare-pri-dedickem-rize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skeduchody.cz/zpravy/zprava-oecd-malo-penez-a-seniori-bez-duchodu"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86DE1-FAA8-4B07-90DA-CBE974C0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1237</Words>
  <Characters>7301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Václava Baudišová</dc:creator>
  <cp:keywords/>
  <dc:description/>
  <cp:lastModifiedBy>Václava Baudišová</cp:lastModifiedBy>
  <cp:revision>3</cp:revision>
  <cp:lastPrinted>2024-06-28T09:11:00Z</cp:lastPrinted>
  <dcterms:created xsi:type="dcterms:W3CDTF">2025-10-14T12:11:00Z</dcterms:created>
  <dcterms:modified xsi:type="dcterms:W3CDTF">2025-10-24T10:39:00Z</dcterms:modified>
</cp:coreProperties>
</file>