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A9" w:rsidRDefault="00536DA9" w:rsidP="00EF209E">
      <w:pPr>
        <w:pStyle w:val="Nadpis1"/>
        <w:spacing w:line="240" w:lineRule="auto"/>
        <w:rPr>
          <w:rFonts w:cs="Arial"/>
          <w:sz w:val="28"/>
          <w:szCs w:val="28"/>
        </w:rPr>
      </w:pPr>
      <w:r w:rsidRPr="00715639">
        <w:rPr>
          <w:rFonts w:cs="Arial"/>
          <w:sz w:val="28"/>
          <w:szCs w:val="28"/>
        </w:rPr>
        <w:t xml:space="preserve">Informace ze Sociálně-právní poradny </w:t>
      </w:r>
      <w:r w:rsidR="00831CF9">
        <w:rPr>
          <w:rFonts w:cs="Arial"/>
          <w:sz w:val="28"/>
          <w:szCs w:val="28"/>
        </w:rPr>
        <w:t>2</w:t>
      </w:r>
      <w:r w:rsidRPr="00715639">
        <w:rPr>
          <w:rFonts w:cs="Arial"/>
          <w:sz w:val="28"/>
          <w:szCs w:val="28"/>
        </w:rPr>
        <w:t>/202</w:t>
      </w:r>
      <w:r>
        <w:rPr>
          <w:rFonts w:cs="Arial"/>
          <w:sz w:val="28"/>
          <w:szCs w:val="28"/>
        </w:rPr>
        <w:t>3</w:t>
      </w:r>
      <w:r w:rsidRPr="00715639">
        <w:rPr>
          <w:rFonts w:cs="Arial"/>
          <w:sz w:val="28"/>
          <w:szCs w:val="28"/>
        </w:rPr>
        <w:t xml:space="preserve"> </w:t>
      </w:r>
    </w:p>
    <w:p w:rsidR="00536DA9" w:rsidRPr="00D87A40" w:rsidRDefault="00536DA9" w:rsidP="00EF209E">
      <w:pPr>
        <w:spacing w:line="240" w:lineRule="auto"/>
      </w:pPr>
    </w:p>
    <w:p w:rsidR="004650C4" w:rsidRDefault="004650C4" w:rsidP="004650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je </w:t>
      </w:r>
      <w:r w:rsidR="00CE3AB8">
        <w:rPr>
          <w:rFonts w:ascii="Arial" w:hAnsi="Arial" w:cs="Arial"/>
          <w:sz w:val="24"/>
          <w:szCs w:val="24"/>
        </w:rPr>
        <w:t>ještě od</w:t>
      </w:r>
      <w:r>
        <w:rPr>
          <w:rFonts w:ascii="Arial" w:hAnsi="Arial" w:cs="Arial"/>
          <w:sz w:val="24"/>
          <w:szCs w:val="24"/>
        </w:rPr>
        <w:t xml:space="preserve"> ledna 2023 nového? Kromě změn popsaných v Informacích 1/2023 (zvýšení přídavku na dítě a příspěvku na mobilitu, výchovné ke starobnímu důchodu) </w:t>
      </w:r>
      <w:r w:rsidR="001F0B2B">
        <w:rPr>
          <w:rFonts w:ascii="Arial" w:hAnsi="Arial" w:cs="Arial"/>
          <w:sz w:val="24"/>
          <w:szCs w:val="24"/>
        </w:rPr>
        <w:t xml:space="preserve">vzrostla </w:t>
      </w:r>
      <w:r>
        <w:rPr>
          <w:rFonts w:ascii="Arial" w:hAnsi="Arial" w:cs="Arial"/>
          <w:sz w:val="24"/>
          <w:szCs w:val="24"/>
        </w:rPr>
        <w:t>minimá</w:t>
      </w:r>
      <w:r w:rsidR="005353DA">
        <w:rPr>
          <w:rFonts w:ascii="Arial" w:hAnsi="Arial" w:cs="Arial"/>
          <w:sz w:val="24"/>
          <w:szCs w:val="24"/>
        </w:rPr>
        <w:t xml:space="preserve">lní měsíční mzda na 17 300 Kč, tj. na 103,80 Kč za hodinu. Také se zvýšila </w:t>
      </w:r>
      <w:r w:rsidR="001F0B2B">
        <w:rPr>
          <w:rFonts w:ascii="Arial" w:hAnsi="Arial" w:cs="Arial"/>
          <w:sz w:val="24"/>
          <w:szCs w:val="24"/>
        </w:rPr>
        <w:t xml:space="preserve">základní výměra </w:t>
      </w:r>
      <w:r>
        <w:rPr>
          <w:rFonts w:ascii="Arial" w:hAnsi="Arial" w:cs="Arial"/>
          <w:sz w:val="24"/>
          <w:szCs w:val="24"/>
        </w:rPr>
        <w:t>důchod</w:t>
      </w:r>
      <w:r w:rsidR="001F0B2B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na 4 040 Kč</w:t>
      </w:r>
      <w:r w:rsidR="00947951">
        <w:rPr>
          <w:rFonts w:ascii="Arial" w:hAnsi="Arial" w:cs="Arial"/>
          <w:sz w:val="24"/>
          <w:szCs w:val="24"/>
        </w:rPr>
        <w:t xml:space="preserve"> </w:t>
      </w:r>
      <w:r w:rsidR="001F0B2B">
        <w:rPr>
          <w:rFonts w:ascii="Arial" w:hAnsi="Arial" w:cs="Arial"/>
          <w:sz w:val="24"/>
          <w:szCs w:val="24"/>
        </w:rPr>
        <w:t>a</w:t>
      </w:r>
      <w:r w:rsidR="00947951">
        <w:rPr>
          <w:rFonts w:ascii="Arial" w:hAnsi="Arial" w:cs="Arial"/>
          <w:sz w:val="24"/>
          <w:szCs w:val="24"/>
        </w:rPr>
        <w:t xml:space="preserve"> procentní výměra o cca 5 %</w:t>
      </w:r>
      <w:r>
        <w:rPr>
          <w:rFonts w:ascii="Arial" w:hAnsi="Arial" w:cs="Arial"/>
          <w:sz w:val="24"/>
          <w:szCs w:val="24"/>
        </w:rPr>
        <w:t xml:space="preserve">. </w:t>
      </w:r>
      <w:r w:rsidR="00E16C4B">
        <w:rPr>
          <w:rFonts w:ascii="Arial" w:hAnsi="Arial" w:cs="Arial"/>
          <w:sz w:val="24"/>
          <w:szCs w:val="24"/>
        </w:rPr>
        <w:t xml:space="preserve"> </w:t>
      </w:r>
      <w:r w:rsidR="00FF233B">
        <w:rPr>
          <w:rFonts w:ascii="Arial" w:hAnsi="Arial" w:cs="Arial"/>
          <w:sz w:val="24"/>
          <w:szCs w:val="24"/>
        </w:rPr>
        <w:t>Rozšířilo</w:t>
      </w:r>
      <w:r w:rsidR="009C4BA9">
        <w:rPr>
          <w:rFonts w:ascii="Arial" w:hAnsi="Arial" w:cs="Arial"/>
          <w:sz w:val="24"/>
          <w:szCs w:val="24"/>
        </w:rPr>
        <w:t xml:space="preserve"> </w:t>
      </w:r>
      <w:r w:rsidR="00FF233B">
        <w:rPr>
          <w:rFonts w:ascii="Arial" w:hAnsi="Arial" w:cs="Arial"/>
          <w:sz w:val="24"/>
          <w:szCs w:val="24"/>
        </w:rPr>
        <w:t xml:space="preserve">se </w:t>
      </w:r>
      <w:r w:rsidR="00CE3AB8">
        <w:rPr>
          <w:rFonts w:ascii="Arial" w:hAnsi="Arial" w:cs="Arial"/>
          <w:sz w:val="24"/>
          <w:szCs w:val="24"/>
        </w:rPr>
        <w:t xml:space="preserve">poskytování slev na telekomunikaci </w:t>
      </w:r>
      <w:r w:rsidR="009C4BA9">
        <w:rPr>
          <w:rFonts w:ascii="Arial" w:hAnsi="Arial" w:cs="Arial"/>
          <w:sz w:val="24"/>
          <w:szCs w:val="24"/>
        </w:rPr>
        <w:t xml:space="preserve">a mírně se zvýšily limity na ceny sociálních služeb. </w:t>
      </w:r>
    </w:p>
    <w:p w:rsidR="00536DA9" w:rsidRPr="00353252" w:rsidRDefault="00353252" w:rsidP="00EF209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53252">
        <w:rPr>
          <w:rFonts w:ascii="Arial" w:hAnsi="Arial" w:cs="Arial"/>
          <w:b/>
          <w:sz w:val="24"/>
          <w:szCs w:val="24"/>
        </w:rPr>
        <w:t>Rozšíření státní slevy z O2 i na další operátory</w:t>
      </w:r>
    </w:p>
    <w:p w:rsidR="001F5422" w:rsidRDefault="00CE3AB8" w:rsidP="00A03350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Úvodem p</w:t>
      </w:r>
      <w:r w:rsidR="00D05B99" w:rsidRPr="000473F0">
        <w:rPr>
          <w:rFonts w:ascii="Arial" w:hAnsi="Arial" w:cs="Arial"/>
          <w:sz w:val="24"/>
          <w:szCs w:val="24"/>
        </w:rPr>
        <w:t xml:space="preserve">řetiskujeme </w:t>
      </w:r>
      <w:r w:rsidR="00063623" w:rsidRPr="000473F0">
        <w:rPr>
          <w:rFonts w:ascii="Arial" w:hAnsi="Arial" w:cs="Arial"/>
          <w:sz w:val="24"/>
          <w:szCs w:val="24"/>
        </w:rPr>
        <w:t xml:space="preserve">v celém </w:t>
      </w:r>
      <w:r w:rsidR="00D05B99" w:rsidRPr="000473F0">
        <w:rPr>
          <w:rFonts w:ascii="Arial" w:hAnsi="Arial" w:cs="Arial"/>
          <w:sz w:val="24"/>
          <w:szCs w:val="24"/>
        </w:rPr>
        <w:t xml:space="preserve">znění </w:t>
      </w:r>
      <w:r w:rsidR="00063623" w:rsidRPr="000473F0">
        <w:rPr>
          <w:rFonts w:ascii="Arial" w:hAnsi="Arial" w:cs="Arial"/>
          <w:sz w:val="24"/>
          <w:szCs w:val="24"/>
        </w:rPr>
        <w:t xml:space="preserve">zprávu Českého telekomunikačního úřadu </w:t>
      </w:r>
      <w:r w:rsidR="001F5422">
        <w:rPr>
          <w:rFonts w:ascii="Arial" w:hAnsi="Arial" w:cs="Arial"/>
          <w:sz w:val="24"/>
          <w:szCs w:val="24"/>
        </w:rPr>
        <w:t>(</w:t>
      </w:r>
      <w:r w:rsidR="00D672A6">
        <w:rPr>
          <w:rFonts w:ascii="Arial" w:hAnsi="Arial" w:cs="Arial"/>
          <w:sz w:val="24"/>
          <w:szCs w:val="24"/>
        </w:rPr>
        <w:t xml:space="preserve">dále </w:t>
      </w:r>
      <w:r w:rsidR="001F5422">
        <w:rPr>
          <w:rFonts w:ascii="Arial" w:hAnsi="Arial" w:cs="Arial"/>
          <w:sz w:val="24"/>
          <w:szCs w:val="24"/>
        </w:rPr>
        <w:t xml:space="preserve">ČTÚ) </w:t>
      </w:r>
      <w:r w:rsidR="00063623" w:rsidRPr="000473F0">
        <w:rPr>
          <w:rFonts w:ascii="Arial" w:hAnsi="Arial" w:cs="Arial"/>
          <w:sz w:val="24"/>
          <w:szCs w:val="24"/>
        </w:rPr>
        <w:t xml:space="preserve">z 15. prosince 2022:  </w:t>
      </w:r>
    </w:p>
    <w:p w:rsidR="00063623" w:rsidRPr="008E7ED7" w:rsidRDefault="00063623" w:rsidP="001F54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ED7">
        <w:rPr>
          <w:rFonts w:ascii="Arial" w:hAnsi="Arial" w:cs="Arial"/>
          <w:sz w:val="24"/>
          <w:szCs w:val="24"/>
        </w:rPr>
        <w:t xml:space="preserve">„TISKOVÁ ZPRÁVA: </w:t>
      </w:r>
      <w:r w:rsidR="0050100D" w:rsidRPr="008E7ED7">
        <w:rPr>
          <w:rFonts w:ascii="Arial" w:hAnsi="Arial" w:cs="Arial"/>
          <w:sz w:val="24"/>
          <w:szCs w:val="24"/>
        </w:rPr>
        <w:t xml:space="preserve"> </w:t>
      </w:r>
      <w:r w:rsidRPr="008E7ED7">
        <w:rPr>
          <w:rFonts w:ascii="Arial" w:hAnsi="Arial" w:cs="Arial"/>
          <w:sz w:val="24"/>
          <w:szCs w:val="24"/>
        </w:rPr>
        <w:t xml:space="preserve">Na cenové zvýhodnění na internet či volání budou mít od ledna nárok zdravotně postižení i osoby s nízkými příjmy </w:t>
      </w:r>
    </w:p>
    <w:p w:rsidR="00063623" w:rsidRDefault="00063623" w:rsidP="00EF209E">
      <w:pPr>
        <w:pStyle w:val="Default"/>
        <w:jc w:val="both"/>
      </w:pPr>
      <w:r w:rsidRPr="00063623">
        <w:t xml:space="preserve">Praha, 15. prosince 2022 – Od 1. ledna 2023 budou 4 společnosti (T-Mobile Czech Republic a.s., Vodafone Czech Republic a.s., O2 Czech Republic a.s. a PODA a.s.) na základě rozhodnutí Českého telekomunikačního úřadu povinny poskytovat službu zvláštních cen. Jedná se o cenové zvýhodnění ve výši </w:t>
      </w:r>
      <w:r w:rsidRPr="00D05B99">
        <w:t>maximálně 200 Kč</w:t>
      </w:r>
      <w:r w:rsidRPr="00063623">
        <w:t xml:space="preserve"> za kalendářní měsíc, které lze čerpat na mobilní či pevný internet, mobilní či pevné hlasové služby, případně na balíček obsahující některou z těchto služeb. Cenové zvýhodnění bude možné využít na všechny těmito společnostmi poskytované služby, tarify a balíčky služeb. Nad rámec této povinnosti musí společnost T-Mobile Czech Republic a.s. umožnit využití cenového zvýhodnění i na alespoň jeden tarif prostřednictvím předplacené karty. </w:t>
      </w:r>
    </w:p>
    <w:p w:rsidR="00063623" w:rsidRPr="00063623" w:rsidRDefault="00063623" w:rsidP="00EF209E">
      <w:pPr>
        <w:pStyle w:val="Default"/>
        <w:jc w:val="both"/>
      </w:pPr>
    </w:p>
    <w:p w:rsidR="00063623" w:rsidRDefault="00063623" w:rsidP="00EF209E">
      <w:pPr>
        <w:pStyle w:val="Default"/>
        <w:jc w:val="both"/>
      </w:pPr>
      <w:r w:rsidRPr="00063623">
        <w:t xml:space="preserve">Je na výběru oprávněné osoby, u které z uvedených společností zvolí čerpání cenového zvýhodnění a na kterou ze služeb. Každá oprávněná osoba však může čerpat v rámci kalendářního měsíce toto zvýhodnění pouze jednou. O cenové zvýhodnění mohou žádat zdravotně postižené osoby a osoby s nízkými příjmy. </w:t>
      </w:r>
    </w:p>
    <w:p w:rsidR="00063623" w:rsidRPr="00063623" w:rsidRDefault="00063623" w:rsidP="00EF209E">
      <w:pPr>
        <w:pStyle w:val="Default"/>
        <w:jc w:val="both"/>
      </w:pPr>
    </w:p>
    <w:p w:rsidR="00063623" w:rsidRDefault="00063623" w:rsidP="00EF209E">
      <w:pPr>
        <w:pStyle w:val="Default"/>
        <w:jc w:val="both"/>
      </w:pPr>
      <w:r w:rsidRPr="00063623">
        <w:t xml:space="preserve">Zdravotně postiženými osobami se </w:t>
      </w:r>
      <w:r w:rsidR="00513194">
        <w:t>rozumí:</w:t>
      </w:r>
    </w:p>
    <w:p w:rsidR="00063623" w:rsidRPr="00063623" w:rsidRDefault="00063623" w:rsidP="00EF209E">
      <w:pPr>
        <w:pStyle w:val="Default"/>
        <w:jc w:val="both"/>
      </w:pPr>
      <w:r w:rsidRPr="00063623">
        <w:t xml:space="preserve">a) držitel průkazu ZTP z důvodu úplné nebo praktické hluchoty, </w:t>
      </w:r>
    </w:p>
    <w:p w:rsidR="00063623" w:rsidRPr="00063623" w:rsidRDefault="00063623" w:rsidP="00EF209E">
      <w:pPr>
        <w:pStyle w:val="Default"/>
        <w:jc w:val="both"/>
      </w:pPr>
      <w:r w:rsidRPr="00063623">
        <w:t xml:space="preserve">b) držitel průkazu ZTP/P, </w:t>
      </w:r>
    </w:p>
    <w:p w:rsidR="00063623" w:rsidRPr="00063623" w:rsidRDefault="00063623" w:rsidP="00EF209E">
      <w:pPr>
        <w:pStyle w:val="Default"/>
        <w:jc w:val="both"/>
      </w:pPr>
      <w:r w:rsidRPr="00063623">
        <w:t xml:space="preserve">c) osoba závislá na pomoci jiné fyzické osoby ve stupni II (středně těžká závislost), stupni III (těžká závislost) nebo stupni IV (úplná závislost) nebo, jde-li o nezletilou osobu, spotřebitel, který o ni osobně pečuje, nebo </w:t>
      </w:r>
    </w:p>
    <w:p w:rsidR="00063623" w:rsidRDefault="00063623" w:rsidP="00EF209E">
      <w:pPr>
        <w:pStyle w:val="Default"/>
        <w:jc w:val="both"/>
      </w:pPr>
      <w:r w:rsidRPr="00063623">
        <w:t xml:space="preserve">d) spotřebitel, který vychovává nebo který osobně pečuje o nezletilou osobu, která mu byla svěřena do péče nahrazující péči rodičů na základě rozhodnutí příslušného orgánu a která je držitelem průkazu podle písmene a) nebo b). </w:t>
      </w:r>
    </w:p>
    <w:p w:rsidR="000F5D1E" w:rsidRPr="00063623" w:rsidRDefault="000F5D1E" w:rsidP="00EF209E">
      <w:pPr>
        <w:pStyle w:val="Default"/>
        <w:jc w:val="both"/>
      </w:pPr>
    </w:p>
    <w:p w:rsidR="00063623" w:rsidRDefault="00063623" w:rsidP="00EF209E">
      <w:pPr>
        <w:pStyle w:val="Default"/>
        <w:jc w:val="both"/>
      </w:pPr>
      <w:r w:rsidRPr="00063623">
        <w:t>Osobou s nízkými příjmy se rozumí osoba</w:t>
      </w:r>
      <w:r w:rsidR="00965621">
        <w:t>:</w:t>
      </w:r>
    </w:p>
    <w:p w:rsidR="00B677D7" w:rsidRDefault="00B677D7" w:rsidP="00EF209E">
      <w:pPr>
        <w:pStyle w:val="Default"/>
        <w:jc w:val="both"/>
      </w:pPr>
    </w:p>
    <w:p w:rsidR="00063623" w:rsidRPr="00063623" w:rsidRDefault="00063623" w:rsidP="00EF209E">
      <w:pPr>
        <w:pStyle w:val="Default"/>
        <w:jc w:val="both"/>
      </w:pPr>
      <w:r w:rsidRPr="00063623">
        <w:t xml:space="preserve">a) jejíž započitatelný příjem za uplynulé kalendářní čtvrtletí je nižší než 2,15násobek životního minima, jde-li o jednotlivce, nebo </w:t>
      </w:r>
    </w:p>
    <w:p w:rsidR="00063623" w:rsidRDefault="00063623" w:rsidP="00EF209E">
      <w:pPr>
        <w:pStyle w:val="Default"/>
        <w:jc w:val="both"/>
      </w:pPr>
      <w:r w:rsidRPr="00063623">
        <w:t xml:space="preserve">b) která žije v téže domácnosti s dalšími osobami a součet jejího započitatelného příjmu a započitatelných příjmů těchto osob za uplynulé kalendářní čtvrtletí je nižší než 2,15násobek životního minima osob žijících v této domácnosti. </w:t>
      </w:r>
    </w:p>
    <w:p w:rsidR="00063623" w:rsidRDefault="00063623" w:rsidP="00EF209E">
      <w:pPr>
        <w:pStyle w:val="Default"/>
        <w:jc w:val="both"/>
      </w:pPr>
      <w:r w:rsidRPr="00063623">
        <w:lastRenderedPageBreak/>
        <w:t xml:space="preserve">POSTUP PRO ZÍSKÁNÍ CENOVÉHO ZVÝHODNĚNÍ </w:t>
      </w:r>
    </w:p>
    <w:p w:rsidR="00063623" w:rsidRPr="00063623" w:rsidRDefault="00063623" w:rsidP="00EF209E">
      <w:pPr>
        <w:pStyle w:val="Default"/>
        <w:jc w:val="both"/>
      </w:pPr>
    </w:p>
    <w:p w:rsidR="00063623" w:rsidRDefault="00063623" w:rsidP="00EF20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623">
        <w:rPr>
          <w:rFonts w:ascii="Arial" w:hAnsi="Arial" w:cs="Arial"/>
          <w:sz w:val="24"/>
          <w:szCs w:val="24"/>
        </w:rPr>
        <w:t>Osoba, která splňuje výše uvedené podmínky, kontaktuje jednoho poskytovatele ze 4 výše uvedených. Při žádosti o cenové zvýhodnění doloží, že je oprávněnou osobou a jakou službu chce čerpat. Zdravotně postižené osoby předloží poskytovateli příslušné doklady (ZTP, ZTP/P), případně oznámení nebo rozhodnutí o přiznání příspěvku na péči nebo rozhodnutí příslušného orgánu o svěření dítěte do péče nahrazující péči rodičů (více podrobností viz § 1 odst. 2 nařízení vlády č. 500/2021 Sb.) Osoba s nízkými příjmy předá poskytovateli služby čestné prohlášení. Vzor čestného prohlášení, včetně postupu pro jeho vyplnění s aktuálními částkami životního minima, Úřad zveřejní v příštím týdnu na svých webových stránkách.</w:t>
      </w:r>
      <w:r>
        <w:rPr>
          <w:rFonts w:ascii="Arial" w:hAnsi="Arial" w:cs="Arial"/>
          <w:sz w:val="24"/>
          <w:szCs w:val="24"/>
        </w:rPr>
        <w:t>“</w:t>
      </w:r>
    </w:p>
    <w:p w:rsidR="00500CDB" w:rsidRDefault="00500CDB" w:rsidP="00DB7C74">
      <w:pPr>
        <w:pBdr>
          <w:bottom w:val="single" w:sz="4" w:space="0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3350" w:rsidRDefault="00A03350" w:rsidP="0021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C74" w:rsidRDefault="00E44A81" w:rsidP="0021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to prakticky znamená? Dosud tato povinnost platila jen pro operátora </w:t>
      </w:r>
      <w:proofErr w:type="gramStart"/>
      <w:r>
        <w:rPr>
          <w:rFonts w:ascii="Arial" w:hAnsi="Arial" w:cs="Arial"/>
          <w:sz w:val="24"/>
          <w:szCs w:val="24"/>
        </w:rPr>
        <w:t>O2,  nyní</w:t>
      </w:r>
      <w:proofErr w:type="gramEnd"/>
      <w:r>
        <w:rPr>
          <w:rFonts w:ascii="Arial" w:hAnsi="Arial" w:cs="Arial"/>
          <w:sz w:val="24"/>
          <w:szCs w:val="24"/>
        </w:rPr>
        <w:t xml:space="preserve"> se rozšiřuje i na </w:t>
      </w:r>
      <w:r w:rsidR="001803FB">
        <w:rPr>
          <w:rFonts w:ascii="Arial" w:hAnsi="Arial" w:cs="Arial"/>
          <w:sz w:val="24"/>
          <w:szCs w:val="24"/>
        </w:rPr>
        <w:t xml:space="preserve">operátory </w:t>
      </w:r>
      <w:r w:rsidR="003737EB">
        <w:rPr>
          <w:rFonts w:ascii="Arial" w:hAnsi="Arial" w:cs="Arial"/>
          <w:sz w:val="24"/>
          <w:szCs w:val="24"/>
        </w:rPr>
        <w:t xml:space="preserve">Vodafone, </w:t>
      </w:r>
      <w:proofErr w:type="spellStart"/>
      <w:r w:rsidR="003737EB">
        <w:rPr>
          <w:rFonts w:ascii="Arial" w:hAnsi="Arial" w:cs="Arial"/>
          <w:sz w:val="24"/>
          <w:szCs w:val="24"/>
        </w:rPr>
        <w:t>T-mobile</w:t>
      </w:r>
      <w:proofErr w:type="spellEnd"/>
      <w:r w:rsidR="003737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737EB">
        <w:rPr>
          <w:rFonts w:ascii="Arial" w:hAnsi="Arial" w:cs="Arial"/>
          <w:sz w:val="24"/>
          <w:szCs w:val="24"/>
        </w:rPr>
        <w:t>Poda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106E7">
        <w:rPr>
          <w:rFonts w:ascii="Arial" w:hAnsi="Arial" w:cs="Arial"/>
          <w:sz w:val="24"/>
          <w:szCs w:val="24"/>
        </w:rPr>
        <w:t xml:space="preserve">Oprávněným osobám se tak zjednoduší rozhodování o změně operátora. </w:t>
      </w:r>
      <w:r w:rsidR="009219A9">
        <w:rPr>
          <w:rFonts w:ascii="Arial" w:hAnsi="Arial" w:cs="Arial"/>
          <w:sz w:val="24"/>
          <w:szCs w:val="24"/>
        </w:rPr>
        <w:t xml:space="preserve">Skutečnost, že </w:t>
      </w:r>
      <w:r w:rsidR="00E106E7">
        <w:rPr>
          <w:rFonts w:ascii="Arial" w:hAnsi="Arial" w:cs="Arial"/>
          <w:sz w:val="24"/>
          <w:szCs w:val="24"/>
        </w:rPr>
        <w:t xml:space="preserve">operátoři </w:t>
      </w:r>
      <w:r w:rsidR="009219A9">
        <w:rPr>
          <w:rFonts w:ascii="Arial" w:hAnsi="Arial" w:cs="Arial"/>
          <w:sz w:val="24"/>
          <w:szCs w:val="24"/>
        </w:rPr>
        <w:t>dříve poskytovali nebo stále poskytují slevy dobrovolně, na tom nic nemění</w:t>
      </w:r>
      <w:r w:rsidR="00D05B99">
        <w:rPr>
          <w:rFonts w:ascii="Arial" w:hAnsi="Arial" w:cs="Arial"/>
          <w:sz w:val="24"/>
          <w:szCs w:val="24"/>
        </w:rPr>
        <w:t xml:space="preserve">, takže </w:t>
      </w:r>
      <w:r w:rsidR="00E106E7">
        <w:rPr>
          <w:rFonts w:ascii="Arial" w:hAnsi="Arial" w:cs="Arial"/>
          <w:sz w:val="24"/>
          <w:szCs w:val="24"/>
        </w:rPr>
        <w:t xml:space="preserve">je otázkou, zda </w:t>
      </w:r>
      <w:r w:rsidR="00373E49">
        <w:rPr>
          <w:rFonts w:ascii="Arial" w:hAnsi="Arial" w:cs="Arial"/>
          <w:sz w:val="24"/>
          <w:szCs w:val="24"/>
        </w:rPr>
        <w:t xml:space="preserve">u nich </w:t>
      </w:r>
      <w:r w:rsidR="00E106E7">
        <w:rPr>
          <w:rFonts w:ascii="Arial" w:hAnsi="Arial" w:cs="Arial"/>
          <w:sz w:val="24"/>
          <w:szCs w:val="24"/>
        </w:rPr>
        <w:t>očekávat snížení nebo</w:t>
      </w:r>
      <w:r w:rsidR="00D05B99">
        <w:rPr>
          <w:rFonts w:ascii="Arial" w:hAnsi="Arial" w:cs="Arial"/>
          <w:sz w:val="24"/>
          <w:szCs w:val="24"/>
        </w:rPr>
        <w:t xml:space="preserve"> zrušení dobrovolných slev</w:t>
      </w:r>
      <w:r w:rsidR="009219A9">
        <w:rPr>
          <w:rFonts w:ascii="Arial" w:hAnsi="Arial" w:cs="Arial"/>
          <w:sz w:val="24"/>
          <w:szCs w:val="24"/>
        </w:rPr>
        <w:t xml:space="preserve">. </w:t>
      </w:r>
      <w:r w:rsidR="00B86D63">
        <w:rPr>
          <w:rFonts w:ascii="Arial" w:hAnsi="Arial" w:cs="Arial"/>
          <w:sz w:val="24"/>
          <w:szCs w:val="24"/>
        </w:rPr>
        <w:t xml:space="preserve">Vzhledem k datu uzávěrky tohoto článku 4. ledna o tom zatím nelze poskytnout seriózní informaci. </w:t>
      </w:r>
      <w:r w:rsidR="009219A9">
        <w:rPr>
          <w:rFonts w:ascii="Arial" w:hAnsi="Arial" w:cs="Arial"/>
          <w:sz w:val="24"/>
          <w:szCs w:val="24"/>
        </w:rPr>
        <w:t>Vše tedy zůstává při starém pro zá</w:t>
      </w:r>
      <w:r w:rsidR="00DB7C74">
        <w:rPr>
          <w:rFonts w:ascii="Arial" w:hAnsi="Arial" w:cs="Arial"/>
          <w:sz w:val="24"/>
          <w:szCs w:val="24"/>
        </w:rPr>
        <w:t xml:space="preserve">kazníky operátora O2, </w:t>
      </w:r>
      <w:r w:rsidR="00373E49">
        <w:rPr>
          <w:rFonts w:ascii="Arial" w:hAnsi="Arial" w:cs="Arial"/>
          <w:sz w:val="24"/>
          <w:szCs w:val="24"/>
        </w:rPr>
        <w:t xml:space="preserve">který </w:t>
      </w:r>
      <w:r w:rsidR="007B77A3">
        <w:rPr>
          <w:rFonts w:ascii="Arial" w:hAnsi="Arial" w:cs="Arial"/>
          <w:sz w:val="24"/>
          <w:szCs w:val="24"/>
        </w:rPr>
        <w:t xml:space="preserve">již </w:t>
      </w:r>
      <w:r w:rsidR="00373E49">
        <w:rPr>
          <w:rFonts w:ascii="Arial" w:hAnsi="Arial" w:cs="Arial"/>
          <w:sz w:val="24"/>
          <w:szCs w:val="24"/>
        </w:rPr>
        <w:t xml:space="preserve">na jaře 2022 zrušil </w:t>
      </w:r>
      <w:r w:rsidR="009219A9">
        <w:rPr>
          <w:rFonts w:ascii="Arial" w:hAnsi="Arial" w:cs="Arial"/>
          <w:sz w:val="24"/>
          <w:szCs w:val="24"/>
        </w:rPr>
        <w:t>dobrovolně poskytovanou slevu 210 Kč na pevnou linku a 49 Kč na mobilní vol</w:t>
      </w:r>
      <w:r w:rsidR="00DB7C74">
        <w:rPr>
          <w:rFonts w:ascii="Arial" w:hAnsi="Arial" w:cs="Arial"/>
          <w:sz w:val="24"/>
          <w:szCs w:val="24"/>
        </w:rPr>
        <w:t xml:space="preserve">ání, </w:t>
      </w:r>
      <w:r w:rsidR="00637B4A">
        <w:rPr>
          <w:rFonts w:ascii="Arial" w:hAnsi="Arial" w:cs="Arial"/>
          <w:sz w:val="24"/>
          <w:szCs w:val="24"/>
        </w:rPr>
        <w:t xml:space="preserve">a nadále poskytuje </w:t>
      </w:r>
      <w:r w:rsidR="00373E49">
        <w:rPr>
          <w:rFonts w:ascii="Arial" w:hAnsi="Arial" w:cs="Arial"/>
          <w:sz w:val="24"/>
          <w:szCs w:val="24"/>
        </w:rPr>
        <w:t xml:space="preserve">pouze </w:t>
      </w:r>
      <w:r w:rsidR="00637B4A">
        <w:rPr>
          <w:rFonts w:ascii="Arial" w:hAnsi="Arial" w:cs="Arial"/>
          <w:sz w:val="24"/>
          <w:szCs w:val="24"/>
        </w:rPr>
        <w:t>tuto tzv. státní slevu 200 Kč měsíčně</w:t>
      </w:r>
      <w:r w:rsidR="0050100D">
        <w:rPr>
          <w:rFonts w:ascii="Arial" w:hAnsi="Arial" w:cs="Arial"/>
          <w:sz w:val="24"/>
          <w:szCs w:val="24"/>
        </w:rPr>
        <w:t xml:space="preserve">. </w:t>
      </w:r>
      <w:r w:rsidR="00D47BC1">
        <w:rPr>
          <w:rFonts w:ascii="Arial" w:hAnsi="Arial" w:cs="Arial"/>
          <w:sz w:val="24"/>
          <w:szCs w:val="24"/>
        </w:rPr>
        <w:t>Pokud už slevu čerpa</w:t>
      </w:r>
      <w:r w:rsidR="00C76BA3">
        <w:rPr>
          <w:rFonts w:ascii="Arial" w:hAnsi="Arial" w:cs="Arial"/>
          <w:sz w:val="24"/>
          <w:szCs w:val="24"/>
        </w:rPr>
        <w:t>jí</w:t>
      </w:r>
      <w:r w:rsidR="00D47BC1">
        <w:rPr>
          <w:rFonts w:ascii="Arial" w:hAnsi="Arial" w:cs="Arial"/>
          <w:sz w:val="24"/>
          <w:szCs w:val="24"/>
        </w:rPr>
        <w:t xml:space="preserve">, nemusí o ni samozřejmě znovu žádat. </w:t>
      </w:r>
    </w:p>
    <w:p w:rsidR="00613B5F" w:rsidRDefault="00613B5F" w:rsidP="0021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DD9" w:rsidRDefault="003737EB" w:rsidP="001E0DD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Shrnuto: </w:t>
      </w:r>
      <w:r w:rsidR="00D05B99">
        <w:rPr>
          <w:rFonts w:ascii="Arial" w:hAnsi="Arial" w:cs="Arial"/>
          <w:sz w:val="24"/>
          <w:szCs w:val="24"/>
        </w:rPr>
        <w:t>o</w:t>
      </w:r>
      <w:r w:rsidR="0050100D">
        <w:rPr>
          <w:rFonts w:ascii="Arial" w:hAnsi="Arial" w:cs="Arial"/>
          <w:sz w:val="24"/>
          <w:szCs w:val="24"/>
        </w:rPr>
        <w:t xml:space="preserve">d ledna </w:t>
      </w:r>
      <w:r w:rsidR="00B54BF0">
        <w:rPr>
          <w:rFonts w:ascii="Arial" w:hAnsi="Arial" w:cs="Arial"/>
          <w:sz w:val="24"/>
          <w:szCs w:val="24"/>
        </w:rPr>
        <w:t>2023</w:t>
      </w:r>
      <w:r w:rsidR="0050100D">
        <w:rPr>
          <w:rFonts w:ascii="Arial" w:hAnsi="Arial" w:cs="Arial"/>
          <w:sz w:val="24"/>
          <w:szCs w:val="24"/>
        </w:rPr>
        <w:t xml:space="preserve"> </w:t>
      </w:r>
      <w:r w:rsidR="009219A9">
        <w:rPr>
          <w:rFonts w:ascii="Arial" w:hAnsi="Arial" w:cs="Arial"/>
          <w:sz w:val="24"/>
          <w:szCs w:val="24"/>
        </w:rPr>
        <w:t>mají při splnění výše uved</w:t>
      </w:r>
      <w:r>
        <w:rPr>
          <w:rFonts w:ascii="Arial" w:hAnsi="Arial" w:cs="Arial"/>
          <w:sz w:val="24"/>
          <w:szCs w:val="24"/>
        </w:rPr>
        <w:t xml:space="preserve">ených podmínek </w:t>
      </w:r>
      <w:r w:rsidR="00B86D63">
        <w:rPr>
          <w:rFonts w:ascii="Arial" w:hAnsi="Arial" w:cs="Arial"/>
          <w:sz w:val="24"/>
          <w:szCs w:val="24"/>
        </w:rPr>
        <w:t xml:space="preserve">ze zákona </w:t>
      </w:r>
      <w:r>
        <w:rPr>
          <w:rFonts w:ascii="Arial" w:hAnsi="Arial" w:cs="Arial"/>
          <w:sz w:val="24"/>
          <w:szCs w:val="24"/>
        </w:rPr>
        <w:t xml:space="preserve">nárok na slevu maximálně 200 Kč měsíčně </w:t>
      </w:r>
      <w:r w:rsidR="009219A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ákazníci </w:t>
      </w:r>
      <w:r w:rsidR="00E106E7">
        <w:rPr>
          <w:rFonts w:ascii="Arial" w:hAnsi="Arial" w:cs="Arial"/>
          <w:sz w:val="24"/>
          <w:szCs w:val="24"/>
        </w:rPr>
        <w:t xml:space="preserve">operátorů </w:t>
      </w:r>
      <w:r>
        <w:rPr>
          <w:rFonts w:ascii="Arial" w:hAnsi="Arial" w:cs="Arial"/>
          <w:sz w:val="24"/>
          <w:szCs w:val="24"/>
        </w:rPr>
        <w:t xml:space="preserve">O2, </w:t>
      </w:r>
      <w:r w:rsidR="0050100D">
        <w:rPr>
          <w:rFonts w:ascii="Arial" w:hAnsi="Arial" w:cs="Arial"/>
          <w:sz w:val="24"/>
          <w:szCs w:val="24"/>
        </w:rPr>
        <w:t xml:space="preserve">Vodafone, </w:t>
      </w:r>
      <w:proofErr w:type="spellStart"/>
      <w:r w:rsidR="0050100D">
        <w:rPr>
          <w:rFonts w:ascii="Arial" w:hAnsi="Arial" w:cs="Arial"/>
          <w:sz w:val="24"/>
          <w:szCs w:val="24"/>
        </w:rPr>
        <w:t>T-</w:t>
      </w:r>
      <w:r w:rsidR="009219A9">
        <w:rPr>
          <w:rFonts w:ascii="Arial" w:hAnsi="Arial" w:cs="Arial"/>
          <w:sz w:val="24"/>
          <w:szCs w:val="24"/>
        </w:rPr>
        <w:t>mobile</w:t>
      </w:r>
      <w:proofErr w:type="spellEnd"/>
      <w:r w:rsidR="009219A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219A9">
        <w:rPr>
          <w:rFonts w:ascii="Arial" w:hAnsi="Arial" w:cs="Arial"/>
          <w:sz w:val="24"/>
          <w:szCs w:val="24"/>
        </w:rPr>
        <w:t>Poda</w:t>
      </w:r>
      <w:proofErr w:type="spellEnd"/>
      <w:r w:rsidR="00D05B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473F0">
        <w:rPr>
          <w:rFonts w:ascii="Arial" w:hAnsi="Arial" w:cs="Arial"/>
          <w:sz w:val="24"/>
          <w:szCs w:val="24"/>
        </w:rPr>
        <w:t>Nařízen</w:t>
      </w:r>
      <w:r w:rsidR="001F5422">
        <w:rPr>
          <w:rFonts w:ascii="Arial" w:hAnsi="Arial" w:cs="Arial"/>
          <w:sz w:val="24"/>
          <w:szCs w:val="24"/>
        </w:rPr>
        <w:t>é</w:t>
      </w:r>
      <w:r w:rsidR="000473F0">
        <w:rPr>
          <w:rFonts w:ascii="Arial" w:hAnsi="Arial" w:cs="Arial"/>
          <w:sz w:val="24"/>
          <w:szCs w:val="24"/>
        </w:rPr>
        <w:t xml:space="preserve"> s</w:t>
      </w:r>
      <w:r w:rsidR="00D05B99">
        <w:rPr>
          <w:rFonts w:ascii="Arial" w:hAnsi="Arial" w:cs="Arial"/>
          <w:sz w:val="24"/>
          <w:szCs w:val="24"/>
        </w:rPr>
        <w:t>lev</w:t>
      </w:r>
      <w:r w:rsidR="00E106E7">
        <w:rPr>
          <w:rFonts w:ascii="Arial" w:hAnsi="Arial" w:cs="Arial"/>
          <w:sz w:val="24"/>
          <w:szCs w:val="24"/>
        </w:rPr>
        <w:t xml:space="preserve">y </w:t>
      </w:r>
      <w:r w:rsidR="001803FB">
        <w:rPr>
          <w:rFonts w:ascii="Arial" w:hAnsi="Arial" w:cs="Arial"/>
          <w:sz w:val="24"/>
          <w:szCs w:val="24"/>
        </w:rPr>
        <w:t>operátorům</w:t>
      </w:r>
      <w:r w:rsidR="00373E49">
        <w:rPr>
          <w:rFonts w:ascii="Arial" w:hAnsi="Arial" w:cs="Arial"/>
          <w:sz w:val="24"/>
          <w:szCs w:val="24"/>
        </w:rPr>
        <w:t xml:space="preserve"> </w:t>
      </w:r>
      <w:r w:rsidR="00D05B99">
        <w:rPr>
          <w:rFonts w:ascii="Arial" w:hAnsi="Arial" w:cs="Arial"/>
          <w:sz w:val="24"/>
          <w:szCs w:val="24"/>
        </w:rPr>
        <w:t>kompenzuje stát</w:t>
      </w:r>
      <w:r w:rsidR="008F5729">
        <w:rPr>
          <w:rFonts w:ascii="Arial" w:hAnsi="Arial" w:cs="Arial"/>
          <w:sz w:val="24"/>
          <w:szCs w:val="24"/>
        </w:rPr>
        <w:t>.</w:t>
      </w:r>
      <w:r w:rsidR="001E0DD9">
        <w:rPr>
          <w:rFonts w:ascii="Arial" w:hAnsi="Arial" w:cs="Arial"/>
          <w:sz w:val="24"/>
          <w:szCs w:val="24"/>
        </w:rPr>
        <w:t xml:space="preserve"> </w:t>
      </w:r>
    </w:p>
    <w:p w:rsidR="00254EBC" w:rsidRPr="00254EBC" w:rsidRDefault="00254EBC" w:rsidP="001E0D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4EBC">
        <w:rPr>
          <w:rFonts w:ascii="Arial" w:hAnsi="Arial" w:cs="Arial"/>
          <w:b/>
          <w:sz w:val="24"/>
          <w:szCs w:val="24"/>
        </w:rPr>
        <w:t xml:space="preserve">Dotované telefony </w:t>
      </w:r>
    </w:p>
    <w:p w:rsidR="00271D97" w:rsidRDefault="008F5729" w:rsidP="00A06EC4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71D97">
        <w:rPr>
          <w:rFonts w:ascii="Arial" w:hAnsi="Arial" w:cs="Arial"/>
          <w:sz w:val="24"/>
          <w:szCs w:val="24"/>
        </w:rPr>
        <w:t>ČTÚ</w:t>
      </w:r>
      <w:r w:rsidR="003737EB" w:rsidRPr="00271D97">
        <w:rPr>
          <w:rFonts w:ascii="Arial" w:hAnsi="Arial" w:cs="Arial"/>
          <w:sz w:val="24"/>
          <w:szCs w:val="24"/>
        </w:rPr>
        <w:t xml:space="preserve"> </w:t>
      </w:r>
      <w:r w:rsidR="00AD0B67" w:rsidRPr="00271D97">
        <w:rPr>
          <w:rFonts w:ascii="Arial" w:hAnsi="Arial" w:cs="Arial"/>
          <w:sz w:val="24"/>
          <w:szCs w:val="24"/>
        </w:rPr>
        <w:t xml:space="preserve">dále </w:t>
      </w:r>
      <w:r w:rsidR="00E106E7" w:rsidRPr="00271D97">
        <w:rPr>
          <w:rFonts w:ascii="Arial" w:hAnsi="Arial" w:cs="Arial"/>
          <w:sz w:val="24"/>
          <w:szCs w:val="24"/>
        </w:rPr>
        <w:t>rozhodl, že</w:t>
      </w:r>
      <w:r w:rsidR="008570EE" w:rsidRPr="00271D97">
        <w:rPr>
          <w:rFonts w:ascii="Arial" w:hAnsi="Arial" w:cs="Arial"/>
          <w:sz w:val="24"/>
          <w:szCs w:val="24"/>
        </w:rPr>
        <w:t xml:space="preserve"> </w:t>
      </w:r>
      <w:r w:rsidR="007B77A3" w:rsidRPr="00271D97">
        <w:rPr>
          <w:rFonts w:ascii="Arial" w:hAnsi="Arial" w:cs="Arial"/>
          <w:sz w:val="24"/>
          <w:szCs w:val="24"/>
        </w:rPr>
        <w:t xml:space="preserve">operátor O2 </w:t>
      </w:r>
      <w:r w:rsidR="004D4E4E" w:rsidRPr="00271D97">
        <w:rPr>
          <w:rFonts w:ascii="Arial" w:hAnsi="Arial" w:cs="Arial"/>
          <w:sz w:val="24"/>
          <w:szCs w:val="24"/>
        </w:rPr>
        <w:t xml:space="preserve">je </w:t>
      </w:r>
      <w:r w:rsidR="001F5422" w:rsidRPr="00652D99">
        <w:rPr>
          <w:rFonts w:ascii="Arial" w:hAnsi="Arial" w:cs="Arial"/>
          <w:sz w:val="24"/>
          <w:szCs w:val="24"/>
        </w:rPr>
        <w:t>nově</w:t>
      </w:r>
      <w:r w:rsidR="001F5422" w:rsidRPr="00271D97">
        <w:rPr>
          <w:rFonts w:ascii="Arial" w:hAnsi="Arial" w:cs="Arial"/>
          <w:color w:val="686868"/>
          <w:sz w:val="24"/>
          <w:szCs w:val="24"/>
        </w:rPr>
        <w:t xml:space="preserve"> </w:t>
      </w:r>
      <w:r w:rsidR="001F5422" w:rsidRPr="00271D97">
        <w:rPr>
          <w:rFonts w:ascii="Arial" w:hAnsi="Arial" w:cs="Arial"/>
          <w:sz w:val="24"/>
          <w:szCs w:val="24"/>
        </w:rPr>
        <w:t xml:space="preserve">povinen slabozrakým a prakticky či zcela nevidomým </w:t>
      </w:r>
      <w:r w:rsidR="00DE1FE5">
        <w:rPr>
          <w:rFonts w:ascii="Arial" w:hAnsi="Arial" w:cs="Arial"/>
          <w:sz w:val="24"/>
          <w:szCs w:val="24"/>
        </w:rPr>
        <w:t>osobám poskytnou</w:t>
      </w:r>
      <w:r w:rsidR="00613B5F">
        <w:rPr>
          <w:rFonts w:ascii="Arial" w:hAnsi="Arial" w:cs="Arial"/>
          <w:sz w:val="24"/>
          <w:szCs w:val="24"/>
        </w:rPr>
        <w:t xml:space="preserve">t, tedy pronajmout nebo prodat </w:t>
      </w:r>
      <w:r w:rsidR="001F5422" w:rsidRPr="00271D97">
        <w:rPr>
          <w:rFonts w:ascii="Arial" w:hAnsi="Arial" w:cs="Arial"/>
          <w:sz w:val="24"/>
          <w:szCs w:val="24"/>
        </w:rPr>
        <w:t>v případě čerpání mobilních s</w:t>
      </w:r>
      <w:r w:rsidR="00652D99">
        <w:rPr>
          <w:rFonts w:ascii="Arial" w:hAnsi="Arial" w:cs="Arial"/>
          <w:sz w:val="24"/>
          <w:szCs w:val="24"/>
        </w:rPr>
        <w:t>lužeb ozvučený mobilní telefon (</w:t>
      </w:r>
      <w:r w:rsidR="001F5422" w:rsidRPr="00271D97">
        <w:rPr>
          <w:rFonts w:ascii="Arial" w:hAnsi="Arial" w:cs="Arial"/>
          <w:sz w:val="24"/>
          <w:szCs w:val="24"/>
        </w:rPr>
        <w:t xml:space="preserve">zařízení obsahující integrovaný hlasový výstup), tedy zařízení </w:t>
      </w:r>
      <w:proofErr w:type="spellStart"/>
      <w:r w:rsidR="001F5422" w:rsidRPr="00271D97">
        <w:rPr>
          <w:rFonts w:ascii="Arial" w:hAnsi="Arial" w:cs="Arial"/>
          <w:sz w:val="24"/>
          <w:szCs w:val="24"/>
        </w:rPr>
        <w:t>Blindshell</w:t>
      </w:r>
      <w:proofErr w:type="spellEnd"/>
      <w:r w:rsidR="001F5422" w:rsidRPr="00271D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422" w:rsidRPr="00271D97">
        <w:rPr>
          <w:rFonts w:ascii="Arial" w:hAnsi="Arial" w:cs="Arial"/>
          <w:sz w:val="24"/>
          <w:szCs w:val="24"/>
        </w:rPr>
        <w:t>Classic</w:t>
      </w:r>
      <w:proofErr w:type="spellEnd"/>
      <w:r w:rsidR="001F5422" w:rsidRPr="00271D97">
        <w:rPr>
          <w:rFonts w:ascii="Arial" w:hAnsi="Arial" w:cs="Arial"/>
          <w:sz w:val="24"/>
          <w:szCs w:val="24"/>
        </w:rPr>
        <w:t xml:space="preserve"> 2 nebo iPhone SE 64 GB 5G (2022), a to podle výběru této zdravotně postižené osoby. </w:t>
      </w:r>
      <w:r w:rsidR="009B2E55" w:rsidRPr="00271D97">
        <w:rPr>
          <w:rFonts w:ascii="Arial" w:hAnsi="Arial" w:cs="Arial"/>
          <w:sz w:val="24"/>
          <w:szCs w:val="24"/>
        </w:rPr>
        <w:t>Oprávněná osoba má nárok na nákup nebo pronájem pouze jednoho zařízení.</w:t>
      </w:r>
      <w:r w:rsidR="009B2E55">
        <w:rPr>
          <w:rFonts w:ascii="Arial" w:hAnsi="Arial" w:cs="Arial"/>
          <w:sz w:val="24"/>
          <w:szCs w:val="24"/>
        </w:rPr>
        <w:t xml:space="preserve"> Podle rozhodnutí </w:t>
      </w:r>
      <w:r w:rsidR="009B2E55" w:rsidRPr="00271D97">
        <w:rPr>
          <w:rFonts w:ascii="Arial" w:hAnsi="Arial" w:cs="Arial"/>
          <w:sz w:val="24"/>
          <w:szCs w:val="24"/>
        </w:rPr>
        <w:t xml:space="preserve">lze </w:t>
      </w:r>
      <w:r w:rsidR="009B2E55">
        <w:rPr>
          <w:rFonts w:ascii="Arial" w:hAnsi="Arial" w:cs="Arial"/>
          <w:sz w:val="24"/>
          <w:szCs w:val="24"/>
        </w:rPr>
        <w:t>p</w:t>
      </w:r>
      <w:r w:rsidR="001F5422" w:rsidRPr="00271D97">
        <w:rPr>
          <w:rFonts w:ascii="Arial" w:hAnsi="Arial" w:cs="Arial"/>
          <w:sz w:val="24"/>
          <w:szCs w:val="24"/>
        </w:rPr>
        <w:t xml:space="preserve">ovinnost splnit i poskytnutím jiného zařízení, které obsahuje integrovaný hlasový výstup. Splnění charakteristik zařízení je možno dosáhnout rovněž pomocí účelových doplňkových zařízení, která je možno připojit ke standardním telekomunikačním koncovým zařízením. V takovém případě musí být doplňkové zařízení dodáváno spolu se standardním telekomunikačním koncovým zařízením jako souprava. </w:t>
      </w:r>
    </w:p>
    <w:p w:rsidR="00AA246F" w:rsidRDefault="006D32F0" w:rsidP="00B1730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95AA4">
        <w:rPr>
          <w:rFonts w:ascii="Arial" w:hAnsi="Arial" w:cs="Arial"/>
          <w:sz w:val="24"/>
          <w:szCs w:val="24"/>
        </w:rPr>
        <w:t>Od o</w:t>
      </w:r>
      <w:r w:rsidR="008F5729" w:rsidRPr="00295AA4">
        <w:rPr>
          <w:rFonts w:ascii="Arial" w:hAnsi="Arial" w:cs="Arial"/>
          <w:sz w:val="24"/>
          <w:szCs w:val="24"/>
        </w:rPr>
        <w:t>perátor</w:t>
      </w:r>
      <w:r w:rsidR="00A975A2" w:rsidRPr="00295AA4">
        <w:rPr>
          <w:rFonts w:ascii="Arial" w:hAnsi="Arial" w:cs="Arial"/>
          <w:sz w:val="24"/>
          <w:szCs w:val="24"/>
        </w:rPr>
        <w:t>a</w:t>
      </w:r>
      <w:r w:rsidR="008F5729" w:rsidRPr="00295AA4">
        <w:rPr>
          <w:rFonts w:ascii="Arial" w:hAnsi="Arial" w:cs="Arial"/>
          <w:sz w:val="24"/>
          <w:szCs w:val="24"/>
        </w:rPr>
        <w:t xml:space="preserve"> O2 je </w:t>
      </w:r>
      <w:r w:rsidRPr="00295AA4">
        <w:rPr>
          <w:rFonts w:ascii="Arial" w:hAnsi="Arial" w:cs="Arial"/>
          <w:sz w:val="24"/>
          <w:szCs w:val="24"/>
        </w:rPr>
        <w:t>možné současně</w:t>
      </w:r>
      <w:r>
        <w:rPr>
          <w:rFonts w:ascii="Arial" w:hAnsi="Arial" w:cs="Arial"/>
          <w:sz w:val="24"/>
          <w:szCs w:val="24"/>
        </w:rPr>
        <w:t xml:space="preserve"> čerpat </w:t>
      </w:r>
      <w:r w:rsidRPr="005C3A17">
        <w:rPr>
          <w:rFonts w:ascii="Arial" w:hAnsi="Arial" w:cs="Arial"/>
          <w:sz w:val="24"/>
          <w:szCs w:val="24"/>
        </w:rPr>
        <w:t xml:space="preserve">již dříve poskytovanou </w:t>
      </w:r>
      <w:r w:rsidR="00B54BF0" w:rsidRPr="005C3A17">
        <w:rPr>
          <w:rFonts w:ascii="Arial" w:hAnsi="Arial" w:cs="Arial"/>
          <w:sz w:val="24"/>
          <w:szCs w:val="24"/>
        </w:rPr>
        <w:t>službu</w:t>
      </w:r>
      <w:r w:rsidR="00B54BF0" w:rsidRPr="00295E38">
        <w:rPr>
          <w:rFonts w:ascii="Arial" w:hAnsi="Arial" w:cs="Arial"/>
          <w:sz w:val="24"/>
          <w:szCs w:val="24"/>
        </w:rPr>
        <w:t xml:space="preserve"> tzv. speciálních koncových </w:t>
      </w:r>
      <w:r w:rsidR="00500CDB" w:rsidRPr="00295E38">
        <w:rPr>
          <w:rFonts w:ascii="Arial" w:hAnsi="Arial" w:cs="Arial"/>
          <w:sz w:val="24"/>
          <w:szCs w:val="24"/>
        </w:rPr>
        <w:t>zařízení</w:t>
      </w:r>
      <w:r w:rsidR="00B54BF0" w:rsidRPr="00295E38">
        <w:rPr>
          <w:rFonts w:ascii="Arial" w:hAnsi="Arial" w:cs="Arial"/>
          <w:sz w:val="24"/>
          <w:szCs w:val="24"/>
        </w:rPr>
        <w:t xml:space="preserve">, která </w:t>
      </w:r>
      <w:r w:rsidR="00E106E7" w:rsidRPr="00295E38">
        <w:rPr>
          <w:rFonts w:ascii="Arial" w:hAnsi="Arial" w:cs="Arial"/>
          <w:sz w:val="24"/>
          <w:szCs w:val="24"/>
        </w:rPr>
        <w:t xml:space="preserve">spočívá v povinnosti </w:t>
      </w:r>
      <w:r w:rsidR="00F82A5D" w:rsidRPr="00295E38">
        <w:rPr>
          <w:rFonts w:ascii="Arial" w:hAnsi="Arial" w:cs="Arial"/>
          <w:sz w:val="24"/>
          <w:szCs w:val="24"/>
        </w:rPr>
        <w:t>„</w:t>
      </w:r>
      <w:r w:rsidR="00E106E7" w:rsidRPr="00295E38">
        <w:rPr>
          <w:rFonts w:ascii="Arial" w:hAnsi="Arial" w:cs="Arial"/>
          <w:sz w:val="24"/>
          <w:szCs w:val="24"/>
        </w:rPr>
        <w:t>pronajmout nebo prodat oprávněné osobě jedno speciálně vybavené telekomunikační koncové zařízení přiměřené zdravotnímu postižení za cenu standardního telekomunikačního koncového zařízení, a nabídnout speciální tarif odpovídající jejich potřebám s ohledem na druh jejich zdravotního postižení.</w:t>
      </w:r>
      <w:r w:rsidR="00F82A5D" w:rsidRPr="00295E38">
        <w:rPr>
          <w:rFonts w:ascii="Arial" w:hAnsi="Arial" w:cs="Arial"/>
          <w:sz w:val="24"/>
          <w:szCs w:val="24"/>
        </w:rPr>
        <w:t>“</w:t>
      </w:r>
      <w:r w:rsidR="008F5729">
        <w:rPr>
          <w:rFonts w:ascii="Arial" w:hAnsi="Arial" w:cs="Arial"/>
          <w:sz w:val="24"/>
          <w:szCs w:val="24"/>
        </w:rPr>
        <w:t xml:space="preserve"> </w:t>
      </w:r>
      <w:r w:rsidR="00652672" w:rsidRPr="00295E38">
        <w:rPr>
          <w:rFonts w:ascii="Arial" w:hAnsi="Arial" w:cs="Arial"/>
          <w:sz w:val="24"/>
          <w:szCs w:val="24"/>
          <w:shd w:val="clear" w:color="auto" w:fill="FFFFFF"/>
        </w:rPr>
        <w:t>Jedná se o pevn</w:t>
      </w:r>
      <w:r w:rsidR="00AA246F">
        <w:rPr>
          <w:rFonts w:ascii="Arial" w:hAnsi="Arial" w:cs="Arial"/>
          <w:sz w:val="24"/>
          <w:szCs w:val="24"/>
          <w:shd w:val="clear" w:color="auto" w:fill="FFFFFF"/>
        </w:rPr>
        <w:t>é</w:t>
      </w:r>
      <w:r w:rsidR="00652672" w:rsidRPr="00295E38">
        <w:rPr>
          <w:rFonts w:ascii="Arial" w:hAnsi="Arial" w:cs="Arial"/>
          <w:sz w:val="24"/>
          <w:szCs w:val="24"/>
          <w:shd w:val="clear" w:color="auto" w:fill="FFFFFF"/>
        </w:rPr>
        <w:t xml:space="preserve"> zaříze</w:t>
      </w:r>
      <w:r w:rsidR="007B77A3">
        <w:rPr>
          <w:rFonts w:ascii="Arial" w:hAnsi="Arial" w:cs="Arial"/>
          <w:sz w:val="24"/>
          <w:szCs w:val="24"/>
          <w:shd w:val="clear" w:color="auto" w:fill="FFFFFF"/>
        </w:rPr>
        <w:t xml:space="preserve">ní umožňující přístup k volání </w:t>
      </w:r>
      <w:r w:rsidR="00652672" w:rsidRPr="00295E38">
        <w:rPr>
          <w:rFonts w:ascii="Arial" w:hAnsi="Arial" w:cs="Arial"/>
          <w:sz w:val="24"/>
          <w:szCs w:val="24"/>
          <w:shd w:val="clear" w:color="auto" w:fill="FFFFFF"/>
        </w:rPr>
        <w:t xml:space="preserve">a internetu. </w:t>
      </w:r>
    </w:p>
    <w:p w:rsidR="00AA246F" w:rsidRDefault="00AA246F" w:rsidP="00B1730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03350" w:rsidRDefault="00A03350" w:rsidP="00B1730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17306" w:rsidRDefault="00652672" w:rsidP="00B1730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832C8">
        <w:rPr>
          <w:rFonts w:ascii="Arial" w:hAnsi="Arial" w:cs="Arial"/>
          <w:sz w:val="24"/>
          <w:szCs w:val="24"/>
          <w:shd w:val="clear" w:color="auto" w:fill="FFFFFF"/>
        </w:rPr>
        <w:t xml:space="preserve">Nabídka </w:t>
      </w:r>
      <w:r w:rsidR="0079190E" w:rsidRPr="005832C8">
        <w:rPr>
          <w:rFonts w:ascii="Arial" w:hAnsi="Arial" w:cs="Arial"/>
          <w:sz w:val="24"/>
          <w:szCs w:val="24"/>
          <w:shd w:val="clear" w:color="auto" w:fill="FFFFFF"/>
        </w:rPr>
        <w:t xml:space="preserve">telefonů </w:t>
      </w:r>
      <w:r w:rsidRPr="005832C8">
        <w:rPr>
          <w:rFonts w:ascii="Arial" w:hAnsi="Arial" w:cs="Arial"/>
          <w:sz w:val="24"/>
          <w:szCs w:val="24"/>
          <w:shd w:val="clear" w:color="auto" w:fill="FFFFFF"/>
        </w:rPr>
        <w:t>je na stránkách společnosti O2 Czech Republic a.s.</w:t>
      </w:r>
      <w:r w:rsidR="004D4E4E" w:rsidRPr="005832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677D7" w:rsidRPr="005832C8">
        <w:rPr>
          <w:rFonts w:ascii="Arial" w:hAnsi="Arial" w:cs="Arial"/>
          <w:sz w:val="24"/>
          <w:szCs w:val="24"/>
          <w:shd w:val="clear" w:color="auto" w:fill="FFFFFF"/>
        </w:rPr>
        <w:t xml:space="preserve">k dispozici </w:t>
      </w:r>
      <w:r w:rsidR="004D4E4E" w:rsidRPr="005832C8">
        <w:rPr>
          <w:rFonts w:ascii="Arial" w:hAnsi="Arial" w:cs="Arial"/>
          <w:sz w:val="24"/>
          <w:szCs w:val="24"/>
          <w:shd w:val="clear" w:color="auto" w:fill="FFFFFF"/>
        </w:rPr>
        <w:t xml:space="preserve">na tomto odkazu: </w:t>
      </w:r>
    </w:p>
    <w:p w:rsidR="00111540" w:rsidRPr="005832C8" w:rsidRDefault="00111540" w:rsidP="00B1730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06EC4" w:rsidRDefault="0035668D" w:rsidP="00B1730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8" w:anchor="c-dalsi-uzitecne-informace-a149386" w:history="1">
        <w:r w:rsidR="00111540" w:rsidRPr="00111540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O2 | Využijte sociální příspěvky na službu od O2</w:t>
        </w:r>
      </w:hyperlink>
    </w:p>
    <w:p w:rsidR="00111540" w:rsidRPr="005832C8" w:rsidRDefault="00111540" w:rsidP="00B1730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43A79" w:rsidRPr="005832C8" w:rsidRDefault="00643A79" w:rsidP="00643A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832C8">
        <w:rPr>
          <w:rFonts w:ascii="Arial" w:hAnsi="Arial" w:cs="Arial"/>
          <w:sz w:val="24"/>
          <w:szCs w:val="24"/>
          <w:shd w:val="clear" w:color="auto" w:fill="FFFFFF"/>
        </w:rPr>
        <w:t>ČTÚ stanovil u zařízení vhodných pro slabozraké a nevidomé pro O2 tyto závazné ceny (uveden</w:t>
      </w:r>
      <w:r w:rsidR="008B597A" w:rsidRPr="005832C8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5832C8">
        <w:rPr>
          <w:rFonts w:ascii="Arial" w:hAnsi="Arial" w:cs="Arial"/>
          <w:sz w:val="24"/>
          <w:szCs w:val="24"/>
          <w:shd w:val="clear" w:color="auto" w:fill="FFFFFF"/>
        </w:rPr>
        <w:t xml:space="preserve"> s DPH):</w:t>
      </w:r>
    </w:p>
    <w:p w:rsidR="00DB7C74" w:rsidRDefault="00DB7C74" w:rsidP="00643A7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43A79" w:rsidRPr="009316C2" w:rsidRDefault="009316C2" w:rsidP="00A06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Typ telefonu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9019E1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A06EC4" w:rsidRPr="009316C2">
        <w:rPr>
          <w:rFonts w:ascii="Arial" w:hAnsi="Arial" w:cs="Arial"/>
          <w:b/>
          <w:sz w:val="24"/>
          <w:szCs w:val="24"/>
          <w:shd w:val="clear" w:color="auto" w:fill="FFFFFF"/>
        </w:rPr>
        <w:t>Pr</w:t>
      </w:r>
      <w:r w:rsidR="00643A79" w:rsidRPr="009316C2">
        <w:rPr>
          <w:rFonts w:ascii="Arial" w:hAnsi="Arial" w:cs="Arial"/>
          <w:b/>
          <w:sz w:val="24"/>
          <w:szCs w:val="24"/>
          <w:shd w:val="clear" w:color="auto" w:fill="FFFFFF"/>
        </w:rPr>
        <w:t xml:space="preserve">onájem </w:t>
      </w:r>
      <w:r w:rsidR="00643A79" w:rsidRPr="009316C2">
        <w:rPr>
          <w:rFonts w:ascii="Arial" w:hAnsi="Arial" w:cs="Arial"/>
          <w:b/>
          <w:sz w:val="24"/>
          <w:szCs w:val="24"/>
          <w:shd w:val="clear" w:color="auto" w:fill="FFFFFF"/>
        </w:rPr>
        <w:tab/>
        <w:t xml:space="preserve">        </w:t>
      </w:r>
      <w:r w:rsidR="00643A79" w:rsidRPr="009316C2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A06EC4" w:rsidRPr="009316C2">
        <w:rPr>
          <w:rFonts w:ascii="Arial" w:hAnsi="Arial" w:cs="Arial"/>
          <w:b/>
          <w:sz w:val="24"/>
          <w:szCs w:val="24"/>
          <w:shd w:val="clear" w:color="auto" w:fill="FFFFFF"/>
        </w:rPr>
        <w:t>P</w:t>
      </w:r>
      <w:r w:rsidR="00643A79" w:rsidRPr="009316C2">
        <w:rPr>
          <w:rFonts w:ascii="Arial" w:hAnsi="Arial" w:cs="Arial"/>
          <w:b/>
          <w:sz w:val="24"/>
          <w:szCs w:val="24"/>
          <w:shd w:val="clear" w:color="auto" w:fill="FFFFFF"/>
        </w:rPr>
        <w:t xml:space="preserve">rodej </w:t>
      </w:r>
    </w:p>
    <w:p w:rsidR="00643A79" w:rsidRPr="00643A79" w:rsidRDefault="00643A79" w:rsidP="00A06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3A79">
        <w:rPr>
          <w:rFonts w:ascii="Arial" w:hAnsi="Arial" w:cs="Arial"/>
          <w:sz w:val="24"/>
          <w:szCs w:val="24"/>
          <w:shd w:val="clear" w:color="auto" w:fill="FFFFFF"/>
        </w:rPr>
        <w:t>iPhone SE 64 GB 5 G (2022)</w:t>
      </w:r>
      <w:r w:rsidRPr="00643A79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9019E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43A79">
        <w:rPr>
          <w:rFonts w:ascii="Arial" w:hAnsi="Arial" w:cs="Arial"/>
          <w:sz w:val="24"/>
          <w:szCs w:val="24"/>
          <w:shd w:val="clear" w:color="auto" w:fill="FFFFFF"/>
        </w:rPr>
        <w:t>116,20 Kč</w:t>
      </w:r>
      <w:r w:rsidRPr="00643A79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43A79">
        <w:rPr>
          <w:rFonts w:ascii="Arial" w:hAnsi="Arial" w:cs="Arial"/>
          <w:sz w:val="24"/>
          <w:szCs w:val="24"/>
          <w:shd w:val="clear" w:color="auto" w:fill="FFFFFF"/>
        </w:rPr>
        <w:t>2 789 Kč</w:t>
      </w:r>
    </w:p>
    <w:p w:rsidR="00643A79" w:rsidRPr="00643A79" w:rsidRDefault="00643A79" w:rsidP="00A06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43A79">
        <w:rPr>
          <w:rFonts w:ascii="Arial" w:hAnsi="Arial" w:cs="Arial"/>
          <w:sz w:val="24"/>
          <w:szCs w:val="24"/>
          <w:shd w:val="clear" w:color="auto" w:fill="FFFFFF"/>
        </w:rPr>
        <w:t>BlindShell</w:t>
      </w:r>
      <w:proofErr w:type="spellEnd"/>
      <w:r w:rsidRPr="00643A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43A79">
        <w:rPr>
          <w:rFonts w:ascii="Arial" w:hAnsi="Arial" w:cs="Arial"/>
          <w:sz w:val="24"/>
          <w:szCs w:val="24"/>
          <w:shd w:val="clear" w:color="auto" w:fill="FFFFFF"/>
        </w:rPr>
        <w:t>Classic</w:t>
      </w:r>
      <w:proofErr w:type="spellEnd"/>
      <w:r w:rsidRPr="00643A79">
        <w:rPr>
          <w:rFonts w:ascii="Arial" w:hAnsi="Arial" w:cs="Arial"/>
          <w:sz w:val="24"/>
          <w:szCs w:val="24"/>
          <w:shd w:val="clear" w:color="auto" w:fill="FFFFFF"/>
        </w:rPr>
        <w:t xml:space="preserve"> 2</w:t>
      </w:r>
      <w:r w:rsidRPr="00643A7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06EC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06EC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06EC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06EC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019E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43A79">
        <w:rPr>
          <w:rFonts w:ascii="Arial" w:hAnsi="Arial" w:cs="Arial"/>
          <w:sz w:val="24"/>
          <w:szCs w:val="24"/>
          <w:shd w:val="clear" w:color="auto" w:fill="FFFFFF"/>
        </w:rPr>
        <w:t>116,20 Kč</w:t>
      </w:r>
      <w:r w:rsidRPr="00643A7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06EC4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43A79">
        <w:rPr>
          <w:rFonts w:ascii="Arial" w:hAnsi="Arial" w:cs="Arial"/>
          <w:sz w:val="24"/>
          <w:szCs w:val="24"/>
          <w:shd w:val="clear" w:color="auto" w:fill="FFFFFF"/>
        </w:rPr>
        <w:t>2 789 Kč</w:t>
      </w:r>
    </w:p>
    <w:p w:rsidR="00643A79" w:rsidRDefault="00643A79" w:rsidP="00A06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43A79">
        <w:rPr>
          <w:rFonts w:ascii="Arial" w:hAnsi="Arial" w:cs="Arial"/>
          <w:sz w:val="24"/>
          <w:szCs w:val="24"/>
          <w:shd w:val="clear" w:color="auto" w:fill="FFFFFF"/>
        </w:rPr>
        <w:t>ClearSound</w:t>
      </w:r>
      <w:proofErr w:type="spellEnd"/>
      <w:r w:rsidRPr="00643A79">
        <w:rPr>
          <w:rFonts w:ascii="Arial" w:hAnsi="Arial" w:cs="Arial"/>
          <w:sz w:val="24"/>
          <w:szCs w:val="24"/>
          <w:shd w:val="clear" w:color="auto" w:fill="FFFFFF"/>
        </w:rPr>
        <w:t xml:space="preserve"> CL 400 (pevné zařízení)</w:t>
      </w:r>
      <w:r w:rsidRPr="00643A7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06EC4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</w:t>
      </w:r>
      <w:r w:rsidR="009019E1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643A79">
        <w:rPr>
          <w:rFonts w:ascii="Arial" w:hAnsi="Arial" w:cs="Arial"/>
          <w:sz w:val="24"/>
          <w:szCs w:val="24"/>
          <w:shd w:val="clear" w:color="auto" w:fill="FFFFFF"/>
        </w:rPr>
        <w:t>29,50 Kč</w:t>
      </w:r>
      <w:r w:rsidRPr="00643A79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06EC4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</w:t>
      </w:r>
      <w:r w:rsidRPr="00643A79">
        <w:rPr>
          <w:rFonts w:ascii="Arial" w:hAnsi="Arial" w:cs="Arial"/>
          <w:sz w:val="24"/>
          <w:szCs w:val="24"/>
          <w:shd w:val="clear" w:color="auto" w:fill="FFFFFF"/>
        </w:rPr>
        <w:t>455 Kč</w:t>
      </w:r>
    </w:p>
    <w:p w:rsidR="009316C2" w:rsidRDefault="009316C2" w:rsidP="009D6F4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8096D" w:rsidRDefault="00AA246F" w:rsidP="009D6F4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Pronájem mobilních </w:t>
      </w:r>
      <w:r w:rsidRPr="00AA246F">
        <w:rPr>
          <w:rFonts w:ascii="Arial" w:hAnsi="Arial" w:cs="Arial"/>
          <w:sz w:val="24"/>
          <w:szCs w:val="24"/>
          <w:shd w:val="clear" w:color="auto" w:fill="FFFFFF"/>
        </w:rPr>
        <w:t xml:space="preserve">telefonů bude dostupný </w:t>
      </w:r>
      <w:r w:rsidR="00643A79">
        <w:rPr>
          <w:rFonts w:ascii="Arial" w:hAnsi="Arial" w:cs="Arial"/>
          <w:sz w:val="24"/>
          <w:szCs w:val="24"/>
          <w:shd w:val="clear" w:color="auto" w:fill="FFFFFF"/>
        </w:rPr>
        <w:t xml:space="preserve">až </w:t>
      </w:r>
      <w:r w:rsidRPr="00AA246F">
        <w:rPr>
          <w:rFonts w:ascii="Arial" w:hAnsi="Arial" w:cs="Arial"/>
          <w:sz w:val="24"/>
          <w:szCs w:val="24"/>
          <w:shd w:val="clear" w:color="auto" w:fill="FFFFFF"/>
        </w:rPr>
        <w:t>od dubna 2023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532A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32A2" w:rsidRPr="00E532A2">
        <w:rPr>
          <w:rFonts w:ascii="Arial" w:hAnsi="Arial" w:cs="Arial"/>
          <w:sz w:val="24"/>
          <w:szCs w:val="24"/>
          <w:shd w:val="clear" w:color="auto" w:fill="FFFFFF"/>
        </w:rPr>
        <w:t>Možnost žádat o dotovaný telefon je pouze</w:t>
      </w:r>
      <w:r w:rsidR="00E532A2" w:rsidRPr="00E532A2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E532A2" w:rsidRPr="00E532A2">
        <w:rPr>
          <w:rFonts w:ascii="Arial" w:hAnsi="Arial" w:cs="Arial"/>
          <w:bCs/>
          <w:sz w:val="24"/>
          <w:szCs w:val="24"/>
          <w:shd w:val="clear" w:color="auto" w:fill="FFFFFF"/>
        </w:rPr>
        <w:t>jednou za tři roky</w:t>
      </w:r>
      <w:r w:rsidR="00E532A2" w:rsidRPr="00E532A2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E532A2" w:rsidRPr="00E532A2">
        <w:rPr>
          <w:rFonts w:ascii="Arial" w:hAnsi="Arial" w:cs="Arial"/>
          <w:sz w:val="24"/>
          <w:szCs w:val="24"/>
          <w:shd w:val="clear" w:color="auto" w:fill="FFFFFF"/>
        </w:rPr>
        <w:t>po doložení nároku.</w:t>
      </w:r>
    </w:p>
    <w:p w:rsidR="00217C30" w:rsidRPr="00217C30" w:rsidRDefault="00217C30" w:rsidP="00217C30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17C30">
        <w:rPr>
          <w:rFonts w:ascii="Arial" w:hAnsi="Arial" w:cs="Arial"/>
          <w:color w:val="000000"/>
          <w:sz w:val="24"/>
          <w:szCs w:val="24"/>
        </w:rPr>
        <w:t>Je třeba</w:t>
      </w:r>
      <w:r w:rsidR="00D97D98">
        <w:rPr>
          <w:rFonts w:ascii="Arial" w:hAnsi="Arial" w:cs="Arial"/>
          <w:color w:val="000000"/>
          <w:sz w:val="24"/>
          <w:szCs w:val="24"/>
        </w:rPr>
        <w:t xml:space="preserve"> počítat s tím, že </w:t>
      </w:r>
      <w:r w:rsidRPr="00217C30">
        <w:rPr>
          <w:rFonts w:ascii="Arial" w:hAnsi="Arial" w:cs="Arial"/>
          <w:color w:val="000000"/>
          <w:sz w:val="24"/>
          <w:szCs w:val="24"/>
        </w:rPr>
        <w:t>ozvučen</w:t>
      </w:r>
      <w:r w:rsidR="00D97D98">
        <w:rPr>
          <w:rFonts w:ascii="Arial" w:hAnsi="Arial" w:cs="Arial"/>
          <w:color w:val="000000"/>
          <w:sz w:val="24"/>
          <w:szCs w:val="24"/>
        </w:rPr>
        <w:t xml:space="preserve">é </w:t>
      </w:r>
      <w:r w:rsidRPr="00217C30">
        <w:rPr>
          <w:rFonts w:ascii="Arial" w:hAnsi="Arial" w:cs="Arial"/>
          <w:color w:val="000000"/>
          <w:sz w:val="24"/>
          <w:szCs w:val="24"/>
        </w:rPr>
        <w:t>telefon</w:t>
      </w:r>
      <w:r w:rsidR="00D97D98">
        <w:rPr>
          <w:rFonts w:ascii="Arial" w:hAnsi="Arial" w:cs="Arial"/>
          <w:color w:val="000000"/>
          <w:sz w:val="24"/>
          <w:szCs w:val="24"/>
        </w:rPr>
        <w:t>y</w:t>
      </w:r>
      <w:r w:rsidRPr="00217C30">
        <w:rPr>
          <w:rFonts w:ascii="Arial" w:hAnsi="Arial" w:cs="Arial"/>
          <w:color w:val="000000"/>
          <w:sz w:val="24"/>
          <w:szCs w:val="24"/>
        </w:rPr>
        <w:t xml:space="preserve"> </w:t>
      </w:r>
      <w:r w:rsidR="00D97D98">
        <w:rPr>
          <w:rFonts w:ascii="Arial" w:hAnsi="Arial" w:cs="Arial"/>
          <w:color w:val="000000"/>
          <w:sz w:val="24"/>
          <w:szCs w:val="24"/>
        </w:rPr>
        <w:t>od</w:t>
      </w:r>
      <w:r w:rsidRPr="00217C30">
        <w:rPr>
          <w:rFonts w:ascii="Arial" w:hAnsi="Arial" w:cs="Arial"/>
          <w:color w:val="000000"/>
          <w:sz w:val="24"/>
          <w:szCs w:val="24"/>
        </w:rPr>
        <w:t xml:space="preserve"> O2 nebud</w:t>
      </w:r>
      <w:r w:rsidR="00D97D98">
        <w:rPr>
          <w:rFonts w:ascii="Arial" w:hAnsi="Arial" w:cs="Arial"/>
          <w:color w:val="000000"/>
          <w:sz w:val="24"/>
          <w:szCs w:val="24"/>
        </w:rPr>
        <w:t>ou</w:t>
      </w:r>
      <w:r w:rsidRPr="00217C30">
        <w:rPr>
          <w:rFonts w:ascii="Arial" w:hAnsi="Arial" w:cs="Arial"/>
          <w:color w:val="000000"/>
          <w:sz w:val="24"/>
          <w:szCs w:val="24"/>
        </w:rPr>
        <w:t xml:space="preserve"> </w:t>
      </w:r>
      <w:r w:rsidR="00D97D98">
        <w:rPr>
          <w:rFonts w:ascii="Arial" w:hAnsi="Arial" w:cs="Arial"/>
          <w:color w:val="000000"/>
          <w:sz w:val="24"/>
          <w:szCs w:val="24"/>
        </w:rPr>
        <w:t xml:space="preserve">pro uživatele nijak nastaveny, </w:t>
      </w:r>
      <w:r w:rsidRPr="00217C30">
        <w:rPr>
          <w:rFonts w:ascii="Arial" w:hAnsi="Arial" w:cs="Arial"/>
          <w:color w:val="000000"/>
          <w:sz w:val="24"/>
          <w:szCs w:val="24"/>
        </w:rPr>
        <w:t xml:space="preserve">na rozdíl od </w:t>
      </w:r>
      <w:r w:rsidR="00D97D98">
        <w:rPr>
          <w:rFonts w:ascii="Arial" w:hAnsi="Arial" w:cs="Arial"/>
          <w:color w:val="000000"/>
          <w:sz w:val="24"/>
          <w:szCs w:val="24"/>
        </w:rPr>
        <w:t>telefonů koupených ve</w:t>
      </w:r>
      <w:r w:rsidRPr="00217C30">
        <w:rPr>
          <w:rFonts w:ascii="Arial" w:hAnsi="Arial" w:cs="Arial"/>
          <w:color w:val="000000"/>
          <w:sz w:val="24"/>
          <w:szCs w:val="24"/>
        </w:rPr>
        <w:t xml:space="preserve"> firmách specializ</w:t>
      </w:r>
      <w:r w:rsidR="00D97D98">
        <w:rPr>
          <w:rFonts w:ascii="Arial" w:hAnsi="Arial" w:cs="Arial"/>
          <w:color w:val="000000"/>
          <w:sz w:val="24"/>
          <w:szCs w:val="24"/>
        </w:rPr>
        <w:t>ovaných na kompenzační pomůcky</w:t>
      </w:r>
      <w:r w:rsidRPr="00217C30">
        <w:rPr>
          <w:rFonts w:ascii="Arial" w:hAnsi="Arial" w:cs="Arial"/>
          <w:color w:val="000000"/>
          <w:sz w:val="24"/>
          <w:szCs w:val="24"/>
        </w:rPr>
        <w:t>. Začínajícím uživatelům lze zvlášť v</w:t>
      </w:r>
      <w:r w:rsidR="007747A5">
        <w:rPr>
          <w:rFonts w:ascii="Arial" w:hAnsi="Arial" w:cs="Arial"/>
          <w:color w:val="000000"/>
          <w:sz w:val="24"/>
          <w:szCs w:val="24"/>
        </w:rPr>
        <w:t xml:space="preserve"> případě iPhonu, ale i u telefonu </w:t>
      </w:r>
      <w:proofErr w:type="spellStart"/>
      <w:r w:rsidRPr="00217C30">
        <w:rPr>
          <w:rFonts w:ascii="Arial" w:hAnsi="Arial" w:cs="Arial"/>
          <w:color w:val="000000"/>
          <w:sz w:val="24"/>
          <w:szCs w:val="24"/>
        </w:rPr>
        <w:t>BlindShell</w:t>
      </w:r>
      <w:proofErr w:type="spellEnd"/>
      <w:r w:rsidRPr="00217C30">
        <w:rPr>
          <w:rFonts w:ascii="Arial" w:hAnsi="Arial" w:cs="Arial"/>
          <w:color w:val="000000"/>
          <w:sz w:val="24"/>
          <w:szCs w:val="24"/>
        </w:rPr>
        <w:t xml:space="preserve"> doporučit, aby se obrátili na nejbližší </w:t>
      </w:r>
      <w:proofErr w:type="spellStart"/>
      <w:r w:rsidRPr="00217C30">
        <w:rPr>
          <w:rFonts w:ascii="Arial" w:hAnsi="Arial" w:cs="Arial"/>
          <w:color w:val="000000"/>
          <w:sz w:val="24"/>
          <w:szCs w:val="24"/>
        </w:rPr>
        <w:t>TyfloCentrum</w:t>
      </w:r>
      <w:proofErr w:type="spellEnd"/>
      <w:r w:rsidRPr="00217C30">
        <w:rPr>
          <w:rFonts w:ascii="Arial" w:hAnsi="Arial" w:cs="Arial"/>
          <w:color w:val="000000"/>
          <w:sz w:val="24"/>
          <w:szCs w:val="24"/>
        </w:rPr>
        <w:t xml:space="preserve"> či </w:t>
      </w:r>
      <w:r w:rsidR="00D97D98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217C30">
        <w:rPr>
          <w:rFonts w:ascii="Arial" w:hAnsi="Arial" w:cs="Arial"/>
          <w:color w:val="000000"/>
          <w:sz w:val="24"/>
          <w:szCs w:val="24"/>
        </w:rPr>
        <w:t xml:space="preserve">SONS v případě Prahy a Zlínského kraje. Počítačoví lektoři </w:t>
      </w:r>
      <w:r w:rsidR="00D97D98">
        <w:rPr>
          <w:rFonts w:ascii="Arial" w:hAnsi="Arial" w:cs="Arial"/>
          <w:color w:val="000000"/>
          <w:sz w:val="24"/>
          <w:szCs w:val="24"/>
        </w:rPr>
        <w:t>pomohou</w:t>
      </w:r>
      <w:r w:rsidRPr="00217C30">
        <w:rPr>
          <w:rFonts w:ascii="Arial" w:hAnsi="Arial" w:cs="Arial"/>
          <w:color w:val="000000"/>
          <w:sz w:val="24"/>
          <w:szCs w:val="24"/>
        </w:rPr>
        <w:t xml:space="preserve"> </w:t>
      </w:r>
      <w:r w:rsidR="007747A5">
        <w:rPr>
          <w:rFonts w:ascii="Arial" w:hAnsi="Arial" w:cs="Arial"/>
          <w:color w:val="000000"/>
          <w:sz w:val="24"/>
          <w:szCs w:val="24"/>
        </w:rPr>
        <w:t>telefon</w:t>
      </w:r>
      <w:r w:rsidRPr="00217C30">
        <w:rPr>
          <w:rFonts w:ascii="Arial" w:hAnsi="Arial" w:cs="Arial"/>
          <w:color w:val="000000"/>
          <w:sz w:val="24"/>
          <w:szCs w:val="24"/>
        </w:rPr>
        <w:t xml:space="preserve"> nastavit a </w:t>
      </w:r>
      <w:r w:rsidR="00D97D98">
        <w:rPr>
          <w:rFonts w:ascii="Arial" w:hAnsi="Arial" w:cs="Arial"/>
          <w:color w:val="000000"/>
          <w:sz w:val="24"/>
          <w:szCs w:val="24"/>
        </w:rPr>
        <w:t xml:space="preserve">zájemce </w:t>
      </w:r>
      <w:r w:rsidR="007747A5">
        <w:rPr>
          <w:rFonts w:ascii="Arial" w:hAnsi="Arial" w:cs="Arial"/>
          <w:color w:val="000000"/>
          <w:sz w:val="24"/>
          <w:szCs w:val="24"/>
        </w:rPr>
        <w:t xml:space="preserve">v užívání </w:t>
      </w:r>
      <w:r w:rsidRPr="00217C30">
        <w:rPr>
          <w:rFonts w:ascii="Arial" w:hAnsi="Arial" w:cs="Arial"/>
          <w:color w:val="000000"/>
          <w:sz w:val="24"/>
          <w:szCs w:val="24"/>
        </w:rPr>
        <w:t>zaško</w:t>
      </w:r>
      <w:r w:rsidR="00D97D98">
        <w:rPr>
          <w:rFonts w:ascii="Arial" w:hAnsi="Arial" w:cs="Arial"/>
          <w:color w:val="000000"/>
          <w:sz w:val="24"/>
          <w:szCs w:val="24"/>
        </w:rPr>
        <w:t>lí</w:t>
      </w:r>
      <w:r w:rsidRPr="00217C30">
        <w:rPr>
          <w:rFonts w:ascii="Arial" w:hAnsi="Arial" w:cs="Arial"/>
          <w:color w:val="000000"/>
          <w:sz w:val="24"/>
          <w:szCs w:val="24"/>
        </w:rPr>
        <w:t xml:space="preserve">. Uživatelé </w:t>
      </w:r>
      <w:proofErr w:type="spellStart"/>
      <w:r w:rsidRPr="00217C30">
        <w:rPr>
          <w:rFonts w:ascii="Arial" w:hAnsi="Arial" w:cs="Arial"/>
          <w:color w:val="000000"/>
          <w:sz w:val="24"/>
          <w:szCs w:val="24"/>
        </w:rPr>
        <w:t>BlindShellu</w:t>
      </w:r>
      <w:proofErr w:type="spellEnd"/>
      <w:r w:rsidRPr="00217C30">
        <w:rPr>
          <w:rFonts w:ascii="Arial" w:hAnsi="Arial" w:cs="Arial"/>
          <w:color w:val="000000"/>
          <w:sz w:val="24"/>
          <w:szCs w:val="24"/>
        </w:rPr>
        <w:t xml:space="preserve"> mohou pro řešení konkrétních problémů využít též linku zákaznické podpory na čísle 221 462 413.</w:t>
      </w:r>
    </w:p>
    <w:p w:rsidR="00295E38" w:rsidRPr="00513194" w:rsidRDefault="00295E38" w:rsidP="004D4E4E">
      <w:pPr>
        <w:pStyle w:val="Normlnweb"/>
        <w:shd w:val="clear" w:color="auto" w:fill="FFFFFF"/>
        <w:spacing w:before="0" w:beforeAutospacing="0" w:after="179" w:afterAutospacing="0"/>
        <w:jc w:val="both"/>
        <w:rPr>
          <w:rFonts w:ascii="Arial" w:hAnsi="Arial" w:cs="Arial"/>
        </w:rPr>
      </w:pPr>
      <w:r w:rsidRPr="00513194">
        <w:rPr>
          <w:rFonts w:ascii="Arial" w:hAnsi="Arial" w:cs="Arial"/>
        </w:rPr>
        <w:t xml:space="preserve">Součástí </w:t>
      </w:r>
      <w:r w:rsidR="005832C8">
        <w:rPr>
          <w:rFonts w:ascii="Arial" w:hAnsi="Arial" w:cs="Arial"/>
        </w:rPr>
        <w:t>služ</w:t>
      </w:r>
      <w:r w:rsidR="00217C30">
        <w:rPr>
          <w:rFonts w:ascii="Arial" w:hAnsi="Arial" w:cs="Arial"/>
        </w:rPr>
        <w:t>by</w:t>
      </w:r>
      <w:r w:rsidR="005832C8">
        <w:rPr>
          <w:rFonts w:ascii="Arial" w:hAnsi="Arial" w:cs="Arial"/>
        </w:rPr>
        <w:t xml:space="preserve"> </w:t>
      </w:r>
      <w:r w:rsidR="00A975A2">
        <w:rPr>
          <w:rFonts w:ascii="Arial" w:hAnsi="Arial" w:cs="Arial"/>
        </w:rPr>
        <w:t xml:space="preserve">O2 </w:t>
      </w:r>
      <w:r w:rsidRPr="00513194">
        <w:rPr>
          <w:rFonts w:ascii="Arial" w:hAnsi="Arial" w:cs="Arial"/>
        </w:rPr>
        <w:t>je nabídka speciálního tarifu odpovídajícího potřebám zdravotně postižených osob s ohledem na druh jejich zdravotního postižení.</w:t>
      </w:r>
      <w:r w:rsidR="00982EBF">
        <w:rPr>
          <w:rFonts w:ascii="Arial" w:hAnsi="Arial" w:cs="Arial"/>
        </w:rPr>
        <w:t xml:space="preserve"> Speciální tarif je možné poskytnout pouze t</w:t>
      </w:r>
      <w:r w:rsidR="005832C8">
        <w:rPr>
          <w:rFonts w:ascii="Arial" w:hAnsi="Arial" w:cs="Arial"/>
        </w:rPr>
        <w:t xml:space="preserve">ehdy, pokud oprávněná osoba současně </w:t>
      </w:r>
      <w:r w:rsidR="00982EBF">
        <w:rPr>
          <w:rFonts w:ascii="Arial" w:hAnsi="Arial" w:cs="Arial"/>
        </w:rPr>
        <w:t xml:space="preserve">nečerpá výše popsanou </w:t>
      </w:r>
      <w:r w:rsidR="00D31D66">
        <w:rPr>
          <w:rFonts w:ascii="Arial" w:hAnsi="Arial" w:cs="Arial"/>
        </w:rPr>
        <w:t xml:space="preserve">měsíční </w:t>
      </w:r>
      <w:r w:rsidR="00982EBF">
        <w:rPr>
          <w:rFonts w:ascii="Arial" w:hAnsi="Arial" w:cs="Arial"/>
        </w:rPr>
        <w:t xml:space="preserve">slevu 200 Kč. Operátor </w:t>
      </w:r>
      <w:r w:rsidR="00982EBF" w:rsidRPr="00513194">
        <w:rPr>
          <w:rFonts w:ascii="Arial" w:hAnsi="Arial" w:cs="Arial"/>
        </w:rPr>
        <w:t xml:space="preserve">umožní oprávněné osobě při uplatnění žádosti </w:t>
      </w:r>
      <w:r w:rsidR="00E06FBA">
        <w:rPr>
          <w:rFonts w:ascii="Arial" w:hAnsi="Arial" w:cs="Arial"/>
        </w:rPr>
        <w:t>volbu</w:t>
      </w:r>
      <w:r w:rsidR="00982EBF">
        <w:rPr>
          <w:rFonts w:ascii="Arial" w:hAnsi="Arial" w:cs="Arial"/>
        </w:rPr>
        <w:t xml:space="preserve"> mezi těmito dvěma možnostmi. </w:t>
      </w:r>
    </w:p>
    <w:p w:rsidR="004D4E4E" w:rsidRPr="00295E38" w:rsidRDefault="003764B7" w:rsidP="00B932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Právo na </w:t>
      </w:r>
      <w:r w:rsidR="00DB3781">
        <w:rPr>
          <w:rFonts w:ascii="Arial" w:hAnsi="Arial" w:cs="Arial"/>
          <w:sz w:val="24"/>
          <w:szCs w:val="24"/>
        </w:rPr>
        <w:t xml:space="preserve">popsané </w:t>
      </w:r>
      <w:r>
        <w:rPr>
          <w:rFonts w:ascii="Arial" w:hAnsi="Arial" w:cs="Arial"/>
          <w:sz w:val="24"/>
          <w:szCs w:val="24"/>
        </w:rPr>
        <w:t xml:space="preserve">služby </w:t>
      </w:r>
      <w:r w:rsidR="00C45800">
        <w:rPr>
          <w:rFonts w:ascii="Arial" w:hAnsi="Arial" w:cs="Arial"/>
          <w:sz w:val="24"/>
          <w:szCs w:val="24"/>
        </w:rPr>
        <w:t xml:space="preserve">poskytované </w:t>
      </w:r>
      <w:r w:rsidR="00DB3781">
        <w:rPr>
          <w:rFonts w:ascii="Arial" w:hAnsi="Arial" w:cs="Arial"/>
          <w:sz w:val="24"/>
          <w:szCs w:val="24"/>
        </w:rPr>
        <w:t>operátorem O2</w:t>
      </w:r>
      <w:r>
        <w:rPr>
          <w:rFonts w:ascii="Arial" w:hAnsi="Arial" w:cs="Arial"/>
          <w:sz w:val="24"/>
          <w:szCs w:val="24"/>
        </w:rPr>
        <w:t xml:space="preserve"> mají </w:t>
      </w:r>
      <w:r w:rsidR="004D4E4E" w:rsidRPr="00295E38">
        <w:rPr>
          <w:rFonts w:ascii="Arial" w:hAnsi="Arial" w:cs="Arial"/>
          <w:sz w:val="24"/>
          <w:szCs w:val="24"/>
        </w:rPr>
        <w:t xml:space="preserve">pouze </w:t>
      </w:r>
      <w:r w:rsidR="00C45800">
        <w:rPr>
          <w:rFonts w:ascii="Arial" w:hAnsi="Arial" w:cs="Arial"/>
          <w:sz w:val="24"/>
          <w:szCs w:val="24"/>
        </w:rPr>
        <w:t xml:space="preserve">zdravotně postižené </w:t>
      </w:r>
      <w:r w:rsidR="007D0A89">
        <w:rPr>
          <w:rFonts w:ascii="Arial" w:hAnsi="Arial" w:cs="Arial"/>
          <w:sz w:val="24"/>
          <w:szCs w:val="24"/>
        </w:rPr>
        <w:t xml:space="preserve">osoby </w:t>
      </w:r>
      <w:r w:rsidR="004D4E4E" w:rsidRPr="00295E38">
        <w:rPr>
          <w:rFonts w:ascii="Arial" w:hAnsi="Arial" w:cs="Arial"/>
          <w:sz w:val="24"/>
          <w:szCs w:val="24"/>
        </w:rPr>
        <w:t xml:space="preserve">uvedené </w:t>
      </w:r>
      <w:r w:rsidR="00965621">
        <w:rPr>
          <w:rFonts w:ascii="Arial" w:hAnsi="Arial" w:cs="Arial"/>
          <w:sz w:val="24"/>
          <w:szCs w:val="24"/>
        </w:rPr>
        <w:t>v § 43 odst.</w:t>
      </w:r>
      <w:r w:rsidR="00F32D19">
        <w:rPr>
          <w:rFonts w:ascii="Arial" w:hAnsi="Arial" w:cs="Arial"/>
          <w:sz w:val="24"/>
          <w:szCs w:val="24"/>
        </w:rPr>
        <w:t xml:space="preserve"> </w:t>
      </w:r>
      <w:r w:rsidR="00B932B7">
        <w:rPr>
          <w:rFonts w:ascii="Arial" w:hAnsi="Arial" w:cs="Arial"/>
          <w:sz w:val="24"/>
          <w:szCs w:val="24"/>
        </w:rPr>
        <w:t xml:space="preserve">4 zákona </w:t>
      </w:r>
      <w:r w:rsidR="00965621">
        <w:rPr>
          <w:rFonts w:ascii="Arial" w:hAnsi="Arial" w:cs="Arial"/>
          <w:sz w:val="24"/>
          <w:szCs w:val="24"/>
        </w:rPr>
        <w:t>č.</w:t>
      </w:r>
      <w:r w:rsidR="00510699">
        <w:rPr>
          <w:rFonts w:ascii="Arial" w:hAnsi="Arial" w:cs="Arial"/>
          <w:sz w:val="24"/>
          <w:szCs w:val="24"/>
        </w:rPr>
        <w:t xml:space="preserve"> </w:t>
      </w:r>
      <w:r w:rsidR="00F32D19">
        <w:rPr>
          <w:rFonts w:ascii="Arial" w:hAnsi="Arial" w:cs="Arial"/>
          <w:sz w:val="24"/>
          <w:szCs w:val="24"/>
        </w:rPr>
        <w:t xml:space="preserve">127/2005 Sb. </w:t>
      </w:r>
      <w:r w:rsidR="00965621">
        <w:rPr>
          <w:rFonts w:ascii="Arial" w:hAnsi="Arial" w:cs="Arial"/>
          <w:sz w:val="24"/>
          <w:szCs w:val="24"/>
        </w:rPr>
        <w:t>o e</w:t>
      </w:r>
      <w:r w:rsidR="00B932B7">
        <w:rPr>
          <w:rFonts w:ascii="Arial" w:hAnsi="Arial" w:cs="Arial"/>
          <w:sz w:val="24"/>
          <w:szCs w:val="24"/>
        </w:rPr>
        <w:t>lektronických komunikacích</w:t>
      </w:r>
      <w:r w:rsidR="00965621">
        <w:rPr>
          <w:rFonts w:ascii="Arial" w:hAnsi="Arial" w:cs="Arial"/>
          <w:sz w:val="24"/>
          <w:szCs w:val="24"/>
        </w:rPr>
        <w:t xml:space="preserve">:  </w:t>
      </w:r>
    </w:p>
    <w:p w:rsidR="004D4E4E" w:rsidRPr="00295E38" w:rsidRDefault="004D4E4E" w:rsidP="004D4E4E">
      <w:pPr>
        <w:pStyle w:val="Default"/>
        <w:jc w:val="both"/>
      </w:pPr>
      <w:r w:rsidRPr="00295E38">
        <w:t xml:space="preserve">a) držitel průkazu ZTP z důvodu úplné nebo praktické hluchoty, </w:t>
      </w:r>
    </w:p>
    <w:p w:rsidR="004D4E4E" w:rsidRPr="00295E38" w:rsidRDefault="004D4E4E" w:rsidP="004D4E4E">
      <w:pPr>
        <w:pStyle w:val="Default"/>
        <w:jc w:val="both"/>
      </w:pPr>
      <w:r w:rsidRPr="00295E38">
        <w:t xml:space="preserve">b) držitel průkazu ZTP/P, </w:t>
      </w:r>
    </w:p>
    <w:p w:rsidR="004D4E4E" w:rsidRPr="00295E38" w:rsidRDefault="004D4E4E" w:rsidP="004D4E4E">
      <w:pPr>
        <w:pStyle w:val="Default"/>
        <w:jc w:val="both"/>
      </w:pPr>
      <w:r w:rsidRPr="00295E38">
        <w:t xml:space="preserve">c) osoba závislá na pomoci jiné fyzické osoby ve stupni II (středně těžká závislost), stupni III (těžká závislost) nebo stupni IV (úplná závislost) nebo, jde-li o nezletilou osobu, spotřebitel, který o ni osobně pečuje, nebo </w:t>
      </w:r>
    </w:p>
    <w:p w:rsidR="004D4E4E" w:rsidRPr="00295E38" w:rsidRDefault="004D4E4E" w:rsidP="004D4E4E">
      <w:pPr>
        <w:pStyle w:val="Default"/>
        <w:jc w:val="both"/>
      </w:pPr>
      <w:r w:rsidRPr="00295E38">
        <w:t xml:space="preserve">d) spotřebitel, který vychovává nebo který osobně pečuje o nezletilou osobu, která mu byla svěřena do péče nahrazující péči rodičů na základě rozhodnutí příslušného orgánu a která je držitelem průkazu podle písmene a) nebo b). </w:t>
      </w:r>
    </w:p>
    <w:p w:rsidR="004D4E4E" w:rsidRPr="00295E38" w:rsidRDefault="004D4E4E" w:rsidP="004D4E4E">
      <w:pPr>
        <w:pStyle w:val="Default"/>
        <w:jc w:val="both"/>
      </w:pPr>
    </w:p>
    <w:p w:rsidR="003764B7" w:rsidRPr="001E0DD9" w:rsidRDefault="00BF0888" w:rsidP="003764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Lidé</w:t>
      </w:r>
      <w:r w:rsidR="004D4E4E" w:rsidRPr="001E0DD9">
        <w:rPr>
          <w:rFonts w:ascii="Arial" w:hAnsi="Arial" w:cs="Arial"/>
          <w:sz w:val="24"/>
          <w:szCs w:val="24"/>
        </w:rPr>
        <w:t xml:space="preserve"> s n</w:t>
      </w:r>
      <w:r w:rsidR="007E41E1" w:rsidRPr="001E0DD9">
        <w:rPr>
          <w:rFonts w:ascii="Arial" w:hAnsi="Arial" w:cs="Arial"/>
          <w:sz w:val="24"/>
          <w:szCs w:val="24"/>
        </w:rPr>
        <w:t>ízkými příjmy</w:t>
      </w:r>
      <w:r w:rsidR="006649BF">
        <w:rPr>
          <w:rFonts w:ascii="Arial" w:hAnsi="Arial" w:cs="Arial"/>
          <w:sz w:val="24"/>
          <w:szCs w:val="24"/>
        </w:rPr>
        <w:t>, pokud je nelze zařadit do tohoto výčtu,</w:t>
      </w:r>
      <w:r w:rsidR="007E41E1" w:rsidRPr="001E0DD9">
        <w:rPr>
          <w:rFonts w:ascii="Arial" w:hAnsi="Arial" w:cs="Arial"/>
          <w:sz w:val="24"/>
          <w:szCs w:val="24"/>
        </w:rPr>
        <w:t xml:space="preserve"> </w:t>
      </w:r>
      <w:r w:rsidR="004D4E4E" w:rsidRPr="001E0DD9">
        <w:rPr>
          <w:rFonts w:ascii="Arial" w:hAnsi="Arial" w:cs="Arial"/>
          <w:sz w:val="24"/>
          <w:szCs w:val="24"/>
        </w:rPr>
        <w:t>na t</w:t>
      </w:r>
      <w:r w:rsidR="0051063C" w:rsidRPr="001E0DD9">
        <w:rPr>
          <w:rFonts w:ascii="Arial" w:hAnsi="Arial" w:cs="Arial"/>
          <w:sz w:val="24"/>
          <w:szCs w:val="24"/>
        </w:rPr>
        <w:t>yto</w:t>
      </w:r>
      <w:r w:rsidR="004D4E4E" w:rsidRPr="001E0DD9">
        <w:rPr>
          <w:rFonts w:ascii="Arial" w:hAnsi="Arial" w:cs="Arial"/>
          <w:sz w:val="24"/>
          <w:szCs w:val="24"/>
        </w:rPr>
        <w:t xml:space="preserve"> služb</w:t>
      </w:r>
      <w:r w:rsidR="0051063C" w:rsidRPr="001E0DD9">
        <w:rPr>
          <w:rFonts w:ascii="Arial" w:hAnsi="Arial" w:cs="Arial"/>
          <w:sz w:val="24"/>
          <w:szCs w:val="24"/>
        </w:rPr>
        <w:t>y</w:t>
      </w:r>
      <w:r w:rsidR="004D4E4E" w:rsidRPr="001E0DD9">
        <w:rPr>
          <w:rFonts w:ascii="Arial" w:hAnsi="Arial" w:cs="Arial"/>
          <w:sz w:val="24"/>
          <w:szCs w:val="24"/>
        </w:rPr>
        <w:t xml:space="preserve"> nárok nemají.</w:t>
      </w:r>
      <w:r w:rsidR="00AA443B" w:rsidRPr="001E0DD9">
        <w:rPr>
          <w:rFonts w:ascii="Arial" w:hAnsi="Arial" w:cs="Arial"/>
          <w:sz w:val="24"/>
          <w:szCs w:val="24"/>
        </w:rPr>
        <w:t xml:space="preserve"> </w:t>
      </w:r>
    </w:p>
    <w:p w:rsidR="0051063C" w:rsidRDefault="008F5729" w:rsidP="005106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</w:t>
      </w:r>
      <w:r w:rsidR="00295E38" w:rsidRPr="0051063C">
        <w:rPr>
          <w:rFonts w:ascii="Arial" w:hAnsi="Arial" w:cs="Arial"/>
          <w:sz w:val="24"/>
          <w:szCs w:val="24"/>
        </w:rPr>
        <w:t> případě zájmu o speciá</w:t>
      </w:r>
      <w:r w:rsidR="00E746A8">
        <w:rPr>
          <w:rFonts w:ascii="Arial" w:hAnsi="Arial" w:cs="Arial"/>
          <w:sz w:val="24"/>
          <w:szCs w:val="24"/>
        </w:rPr>
        <w:t>lní koncové zařízení musí</w:t>
      </w:r>
      <w:r w:rsidR="00E746A8" w:rsidRPr="0051063C">
        <w:rPr>
          <w:rFonts w:ascii="Arial" w:hAnsi="Arial" w:cs="Arial"/>
          <w:sz w:val="24"/>
          <w:szCs w:val="24"/>
        </w:rPr>
        <w:t xml:space="preserve"> </w:t>
      </w:r>
      <w:r w:rsidR="0051063C" w:rsidRPr="0051063C">
        <w:rPr>
          <w:rFonts w:ascii="Arial" w:hAnsi="Arial" w:cs="Arial"/>
          <w:sz w:val="24"/>
          <w:szCs w:val="24"/>
        </w:rPr>
        <w:t>opr</w:t>
      </w:r>
      <w:r>
        <w:rPr>
          <w:rFonts w:ascii="Arial" w:hAnsi="Arial" w:cs="Arial"/>
          <w:sz w:val="24"/>
          <w:szCs w:val="24"/>
        </w:rPr>
        <w:t xml:space="preserve">ávněná osoba </w:t>
      </w:r>
      <w:r w:rsidR="006649BF">
        <w:rPr>
          <w:rFonts w:ascii="Arial" w:hAnsi="Arial" w:cs="Arial"/>
          <w:sz w:val="24"/>
          <w:szCs w:val="24"/>
        </w:rPr>
        <w:t>kontaktovat</w:t>
      </w:r>
      <w:r w:rsidR="0051063C" w:rsidRPr="0051063C">
        <w:rPr>
          <w:rFonts w:ascii="Arial" w:hAnsi="Arial" w:cs="Arial"/>
          <w:sz w:val="24"/>
          <w:szCs w:val="24"/>
        </w:rPr>
        <w:t xml:space="preserve"> společnost O2, uvést, že má o službu zájem </w:t>
      </w:r>
      <w:r w:rsidR="00295E38" w:rsidRPr="0051063C">
        <w:rPr>
          <w:rFonts w:ascii="Arial" w:hAnsi="Arial" w:cs="Arial"/>
          <w:sz w:val="24"/>
          <w:szCs w:val="24"/>
        </w:rPr>
        <w:t>a předložit příslušné doklady</w:t>
      </w:r>
      <w:r w:rsidR="0051063C" w:rsidRPr="0051063C">
        <w:rPr>
          <w:rFonts w:ascii="Arial" w:hAnsi="Arial" w:cs="Arial"/>
          <w:sz w:val="24"/>
          <w:szCs w:val="24"/>
        </w:rPr>
        <w:t xml:space="preserve"> prokazující oprávněnost nároku (průkaz ZTP z důvodu úplné nebo praktické hluchoty, </w:t>
      </w:r>
      <w:r>
        <w:rPr>
          <w:rFonts w:ascii="Arial" w:hAnsi="Arial" w:cs="Arial"/>
          <w:sz w:val="24"/>
          <w:szCs w:val="24"/>
        </w:rPr>
        <w:t xml:space="preserve">průkaz </w:t>
      </w:r>
      <w:r w:rsidR="0051063C" w:rsidRPr="0051063C">
        <w:rPr>
          <w:rFonts w:ascii="Arial" w:hAnsi="Arial" w:cs="Arial"/>
          <w:sz w:val="24"/>
          <w:szCs w:val="24"/>
        </w:rPr>
        <w:t>ZTP/P), případně oznámení nebo rozhodnutí o přiznání příspěvku na péči nebo rozhodnutí příslušného orgánu o svěření dítěte do péče nahrazující péči rodičů.</w:t>
      </w:r>
    </w:p>
    <w:p w:rsidR="00AA443B" w:rsidRPr="00F37186" w:rsidRDefault="00F37186" w:rsidP="005106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7186">
        <w:rPr>
          <w:rFonts w:ascii="Arial" w:hAnsi="Arial" w:cs="Arial"/>
          <w:sz w:val="24"/>
          <w:szCs w:val="24"/>
        </w:rPr>
        <w:t xml:space="preserve">Uplatnění </w:t>
      </w:r>
      <w:r w:rsidR="00AA443B" w:rsidRPr="00F37186">
        <w:rPr>
          <w:rFonts w:ascii="Arial" w:hAnsi="Arial" w:cs="Arial"/>
          <w:sz w:val="24"/>
          <w:szCs w:val="24"/>
        </w:rPr>
        <w:t>nárok</w:t>
      </w:r>
      <w:r w:rsidR="001A756B">
        <w:rPr>
          <w:rFonts w:ascii="Arial" w:hAnsi="Arial" w:cs="Arial"/>
          <w:sz w:val="24"/>
          <w:szCs w:val="24"/>
        </w:rPr>
        <w:t>ů</w:t>
      </w:r>
      <w:r w:rsidR="00AA443B" w:rsidRPr="00F37186">
        <w:rPr>
          <w:rFonts w:ascii="Arial" w:hAnsi="Arial" w:cs="Arial"/>
          <w:sz w:val="24"/>
          <w:szCs w:val="24"/>
        </w:rPr>
        <w:t xml:space="preserve"> </w:t>
      </w:r>
      <w:r w:rsidRPr="00F37186">
        <w:rPr>
          <w:rFonts w:ascii="Arial" w:hAnsi="Arial" w:cs="Arial"/>
          <w:sz w:val="24"/>
          <w:szCs w:val="24"/>
        </w:rPr>
        <w:t>bu</w:t>
      </w:r>
      <w:bookmarkStart w:id="0" w:name="_GoBack"/>
      <w:bookmarkEnd w:id="0"/>
      <w:r w:rsidRPr="00F37186">
        <w:rPr>
          <w:rFonts w:ascii="Arial" w:hAnsi="Arial" w:cs="Arial"/>
          <w:sz w:val="24"/>
          <w:szCs w:val="24"/>
        </w:rPr>
        <w:t>de evidovat ČTÚ, aby n</w:t>
      </w:r>
      <w:r w:rsidR="001A756B">
        <w:rPr>
          <w:rFonts w:ascii="Arial" w:hAnsi="Arial" w:cs="Arial"/>
          <w:sz w:val="24"/>
          <w:szCs w:val="24"/>
        </w:rPr>
        <w:t>edocházelo ke zneužívání</w:t>
      </w:r>
      <w:r w:rsidRPr="00F37186">
        <w:rPr>
          <w:rFonts w:ascii="Arial" w:hAnsi="Arial" w:cs="Arial"/>
          <w:sz w:val="24"/>
          <w:szCs w:val="24"/>
        </w:rPr>
        <w:t xml:space="preserve">, tedy aby </w:t>
      </w:r>
      <w:r w:rsidR="00BF0888">
        <w:rPr>
          <w:rFonts w:ascii="Arial" w:hAnsi="Arial" w:cs="Arial"/>
          <w:sz w:val="24"/>
          <w:szCs w:val="24"/>
        </w:rPr>
        <w:t xml:space="preserve">slevu uplatnil </w:t>
      </w:r>
      <w:r w:rsidRPr="00F37186">
        <w:rPr>
          <w:rFonts w:ascii="Arial" w:hAnsi="Arial" w:cs="Arial"/>
          <w:sz w:val="24"/>
          <w:szCs w:val="24"/>
        </w:rPr>
        <w:t xml:space="preserve">jen </w:t>
      </w:r>
      <w:r w:rsidR="00E746A8">
        <w:rPr>
          <w:rFonts w:ascii="Arial" w:hAnsi="Arial" w:cs="Arial"/>
          <w:sz w:val="24"/>
          <w:szCs w:val="24"/>
        </w:rPr>
        <w:t>oprávněn</w:t>
      </w:r>
      <w:r w:rsidR="00BF0888">
        <w:rPr>
          <w:rFonts w:ascii="Arial" w:hAnsi="Arial" w:cs="Arial"/>
          <w:sz w:val="24"/>
          <w:szCs w:val="24"/>
        </w:rPr>
        <w:t>ý</w:t>
      </w:r>
      <w:r w:rsidRPr="00F37186">
        <w:rPr>
          <w:rFonts w:ascii="Arial" w:hAnsi="Arial" w:cs="Arial"/>
          <w:sz w:val="24"/>
          <w:szCs w:val="24"/>
        </w:rPr>
        <w:t xml:space="preserve"> zá</w:t>
      </w:r>
      <w:r w:rsidR="00BF0888">
        <w:rPr>
          <w:rFonts w:ascii="Arial" w:hAnsi="Arial" w:cs="Arial"/>
          <w:sz w:val="24"/>
          <w:szCs w:val="24"/>
        </w:rPr>
        <w:t>kazní</w:t>
      </w:r>
      <w:r w:rsidR="0002511D">
        <w:rPr>
          <w:rFonts w:ascii="Arial" w:hAnsi="Arial" w:cs="Arial"/>
          <w:sz w:val="24"/>
          <w:szCs w:val="24"/>
        </w:rPr>
        <w:t xml:space="preserve">k </w:t>
      </w:r>
      <w:r w:rsidR="00BF0888">
        <w:rPr>
          <w:rFonts w:ascii="Arial" w:hAnsi="Arial" w:cs="Arial"/>
          <w:sz w:val="24"/>
          <w:szCs w:val="24"/>
        </w:rPr>
        <w:t xml:space="preserve">a aby </w:t>
      </w:r>
      <w:r w:rsidRPr="00F37186">
        <w:rPr>
          <w:rFonts w:ascii="Arial" w:hAnsi="Arial" w:cs="Arial"/>
          <w:sz w:val="24"/>
          <w:szCs w:val="24"/>
        </w:rPr>
        <w:t>nebyl</w:t>
      </w:r>
      <w:r w:rsidR="00BF0888">
        <w:rPr>
          <w:rFonts w:ascii="Arial" w:hAnsi="Arial" w:cs="Arial"/>
          <w:sz w:val="24"/>
          <w:szCs w:val="24"/>
        </w:rPr>
        <w:t>a</w:t>
      </w:r>
      <w:r w:rsidRPr="00F37186">
        <w:rPr>
          <w:rFonts w:ascii="Arial" w:hAnsi="Arial" w:cs="Arial"/>
          <w:sz w:val="24"/>
          <w:szCs w:val="24"/>
        </w:rPr>
        <w:t xml:space="preserve"> poskytnut</w:t>
      </w:r>
      <w:r w:rsidR="00BF0888">
        <w:rPr>
          <w:rFonts w:ascii="Arial" w:hAnsi="Arial" w:cs="Arial"/>
          <w:sz w:val="24"/>
          <w:szCs w:val="24"/>
        </w:rPr>
        <w:t>a</w:t>
      </w:r>
      <w:r w:rsidRPr="00F37186">
        <w:rPr>
          <w:rFonts w:ascii="Arial" w:hAnsi="Arial" w:cs="Arial"/>
          <w:sz w:val="24"/>
          <w:szCs w:val="24"/>
        </w:rPr>
        <w:t xml:space="preserve"> duplicitně. </w:t>
      </w:r>
    </w:p>
    <w:p w:rsidR="00AF24B5" w:rsidRPr="0051063C" w:rsidRDefault="00AF24B5" w:rsidP="005106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Celá tisková zpráva ČTÚ k povinnosti poskytovat speciální koncová zařízení z 21. prosince 2022 </w:t>
      </w:r>
      <w:r w:rsidR="00B87AE4">
        <w:rPr>
          <w:rFonts w:ascii="Arial" w:hAnsi="Arial" w:cs="Arial"/>
          <w:sz w:val="24"/>
          <w:szCs w:val="24"/>
        </w:rPr>
        <w:t xml:space="preserve">včetně odkazu na příslušné rozhodnutí </w:t>
      </w:r>
      <w:r>
        <w:rPr>
          <w:rFonts w:ascii="Arial" w:hAnsi="Arial" w:cs="Arial"/>
          <w:sz w:val="24"/>
          <w:szCs w:val="24"/>
        </w:rPr>
        <w:t xml:space="preserve">je na tomto odkazu: </w:t>
      </w:r>
    </w:p>
    <w:p w:rsidR="00513194" w:rsidRDefault="0035668D" w:rsidP="00513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513194" w:rsidRPr="00AF24B5">
          <w:rPr>
            <w:rStyle w:val="Hypertextovodkaz"/>
            <w:rFonts w:ascii="Arial" w:hAnsi="Arial" w:cs="Arial"/>
            <w:sz w:val="24"/>
            <w:szCs w:val="24"/>
          </w:rPr>
          <w:t>https://www.ctu.cz/tiskova-zprava-povinnost-poskytovat-specialni-koncova-zarizeni-ma-o2</w:t>
        </w:r>
      </w:hyperlink>
    </w:p>
    <w:p w:rsidR="00217C30" w:rsidRDefault="00217C30" w:rsidP="007E4992">
      <w:pPr>
        <w:jc w:val="both"/>
        <w:rPr>
          <w:rFonts w:ascii="Arial" w:hAnsi="Arial" w:cs="Arial"/>
          <w:sz w:val="24"/>
          <w:szCs w:val="24"/>
        </w:rPr>
      </w:pPr>
      <w:r w:rsidRPr="00217C30">
        <w:rPr>
          <w:rFonts w:ascii="Arial" w:hAnsi="Arial" w:cs="Arial"/>
          <w:sz w:val="24"/>
          <w:szCs w:val="24"/>
        </w:rPr>
        <w:t>Z</w:t>
      </w:r>
      <w:r w:rsidR="00A105B4">
        <w:rPr>
          <w:rFonts w:ascii="Arial" w:hAnsi="Arial" w:cs="Arial"/>
          <w:sz w:val="24"/>
          <w:szCs w:val="24"/>
        </w:rPr>
        <w:t xml:space="preserve">ávěrem </w:t>
      </w:r>
      <w:r>
        <w:rPr>
          <w:rFonts w:ascii="Arial" w:hAnsi="Arial" w:cs="Arial"/>
          <w:sz w:val="24"/>
          <w:szCs w:val="24"/>
        </w:rPr>
        <w:t xml:space="preserve">dlužno dodat, že zavedením povinné nabídky </w:t>
      </w:r>
      <w:r w:rsidRPr="00217C30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>ů</w:t>
      </w:r>
      <w:r w:rsidRPr="00217C30">
        <w:rPr>
          <w:rFonts w:ascii="Arial" w:hAnsi="Arial" w:cs="Arial"/>
          <w:sz w:val="24"/>
          <w:szCs w:val="24"/>
        </w:rPr>
        <w:t xml:space="preserve"> vybaven</w:t>
      </w:r>
      <w:r>
        <w:rPr>
          <w:rFonts w:ascii="Arial" w:hAnsi="Arial" w:cs="Arial"/>
          <w:sz w:val="24"/>
          <w:szCs w:val="24"/>
        </w:rPr>
        <w:t>ých</w:t>
      </w:r>
      <w:r w:rsidRPr="00217C30">
        <w:rPr>
          <w:rFonts w:ascii="Arial" w:hAnsi="Arial" w:cs="Arial"/>
          <w:sz w:val="24"/>
          <w:szCs w:val="24"/>
        </w:rPr>
        <w:t xml:space="preserve"> hlasovým výstupem</w:t>
      </w:r>
      <w:r>
        <w:rPr>
          <w:rFonts w:ascii="Arial" w:hAnsi="Arial" w:cs="Arial"/>
          <w:sz w:val="24"/>
          <w:szCs w:val="24"/>
        </w:rPr>
        <w:t xml:space="preserve"> ČTÚ </w:t>
      </w:r>
      <w:r w:rsidR="00916721">
        <w:rPr>
          <w:rFonts w:ascii="Arial" w:hAnsi="Arial" w:cs="Arial"/>
          <w:sz w:val="24"/>
          <w:szCs w:val="24"/>
        </w:rPr>
        <w:t xml:space="preserve">vyhověl dlouhodobým návrhům </w:t>
      </w:r>
      <w:r>
        <w:rPr>
          <w:rFonts w:ascii="Arial" w:hAnsi="Arial" w:cs="Arial"/>
          <w:sz w:val="24"/>
          <w:szCs w:val="24"/>
        </w:rPr>
        <w:t>SONS.</w:t>
      </w:r>
    </w:p>
    <w:p w:rsidR="00D16659" w:rsidRDefault="007E4992" w:rsidP="00D16659">
      <w:pPr>
        <w:jc w:val="both"/>
        <w:rPr>
          <w:rFonts w:ascii="Arial" w:hAnsi="Arial" w:cs="Arial"/>
          <w:b/>
          <w:sz w:val="24"/>
          <w:szCs w:val="24"/>
        </w:rPr>
      </w:pPr>
      <w:r w:rsidRPr="00203EE5">
        <w:rPr>
          <w:rFonts w:ascii="Arial" w:hAnsi="Arial" w:cs="Arial"/>
          <w:b/>
          <w:sz w:val="24"/>
          <w:szCs w:val="24"/>
        </w:rPr>
        <w:t xml:space="preserve">Změny v úhradách za sociální služby </w:t>
      </w:r>
    </w:p>
    <w:p w:rsidR="004F2692" w:rsidRPr="000964A1" w:rsidRDefault="00D16659" w:rsidP="00D1665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D672A6">
        <w:rPr>
          <w:rFonts w:ascii="Arial" w:hAnsi="Arial" w:cs="Arial"/>
          <w:sz w:val="24"/>
          <w:szCs w:val="24"/>
        </w:rPr>
        <w:t xml:space="preserve">ohužel ne </w:t>
      </w:r>
      <w:r w:rsidR="00A105B4">
        <w:rPr>
          <w:rFonts w:ascii="Arial" w:hAnsi="Arial" w:cs="Arial"/>
          <w:sz w:val="24"/>
          <w:szCs w:val="24"/>
        </w:rPr>
        <w:t>tak příznivou</w:t>
      </w:r>
      <w:r w:rsidR="00270B8B">
        <w:rPr>
          <w:rFonts w:ascii="Arial" w:hAnsi="Arial" w:cs="Arial"/>
          <w:sz w:val="24"/>
          <w:szCs w:val="24"/>
        </w:rPr>
        <w:t xml:space="preserve"> </w:t>
      </w:r>
      <w:r w:rsidR="00D672A6">
        <w:rPr>
          <w:rFonts w:ascii="Arial" w:hAnsi="Arial" w:cs="Arial"/>
          <w:sz w:val="24"/>
          <w:szCs w:val="24"/>
        </w:rPr>
        <w:t>novinkou</w:t>
      </w:r>
      <w:r w:rsidR="00B434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 odběratele, </w:t>
      </w:r>
      <w:r w:rsidR="00856BCF">
        <w:rPr>
          <w:rFonts w:ascii="Arial" w:hAnsi="Arial" w:cs="Arial"/>
          <w:sz w:val="24"/>
          <w:szCs w:val="24"/>
        </w:rPr>
        <w:t xml:space="preserve">platnou od ledna 2023, </w:t>
      </w:r>
      <w:r w:rsidR="007E4992">
        <w:rPr>
          <w:rFonts w:ascii="Arial" w:hAnsi="Arial" w:cs="Arial"/>
          <w:sz w:val="24"/>
          <w:szCs w:val="24"/>
        </w:rPr>
        <w:t xml:space="preserve">je zvýšení cen </w:t>
      </w:r>
      <w:r w:rsidR="006004F0">
        <w:rPr>
          <w:rFonts w:ascii="Arial" w:hAnsi="Arial" w:cs="Arial"/>
          <w:sz w:val="24"/>
          <w:szCs w:val="24"/>
        </w:rPr>
        <w:t xml:space="preserve">sociálních služeb. Výsledek </w:t>
      </w:r>
      <w:r w:rsidR="00B43438">
        <w:rPr>
          <w:rFonts w:ascii="Arial" w:hAnsi="Arial" w:cs="Arial"/>
          <w:sz w:val="24"/>
          <w:szCs w:val="24"/>
        </w:rPr>
        <w:t xml:space="preserve">v řádech desetikorun </w:t>
      </w:r>
      <w:r w:rsidR="006004F0">
        <w:rPr>
          <w:rFonts w:ascii="Arial" w:hAnsi="Arial" w:cs="Arial"/>
          <w:sz w:val="24"/>
          <w:szCs w:val="24"/>
        </w:rPr>
        <w:t>je kompromisem mezi Ministerstvem práce</w:t>
      </w:r>
      <w:r w:rsidR="00670E93">
        <w:rPr>
          <w:rFonts w:ascii="Arial" w:hAnsi="Arial" w:cs="Arial"/>
          <w:sz w:val="24"/>
          <w:szCs w:val="24"/>
        </w:rPr>
        <w:t xml:space="preserve"> a</w:t>
      </w:r>
      <w:r w:rsidR="006004F0">
        <w:rPr>
          <w:rFonts w:ascii="Arial" w:hAnsi="Arial" w:cs="Arial"/>
          <w:sz w:val="24"/>
          <w:szCs w:val="24"/>
        </w:rPr>
        <w:t xml:space="preserve"> sociálních věcí </w:t>
      </w:r>
      <w:r w:rsidR="006004F0" w:rsidRPr="006004F0">
        <w:rPr>
          <w:rFonts w:ascii="Arial" w:hAnsi="Arial" w:cs="Arial"/>
          <w:sz w:val="24"/>
          <w:szCs w:val="24"/>
        </w:rPr>
        <w:t>a</w:t>
      </w:r>
      <w:r w:rsidR="00B43438">
        <w:rPr>
          <w:rFonts w:ascii="Arial" w:hAnsi="Arial" w:cs="Arial"/>
          <w:sz w:val="24"/>
          <w:szCs w:val="24"/>
        </w:rPr>
        <w:t xml:space="preserve"> </w:t>
      </w:r>
      <w:r w:rsidR="006004F0" w:rsidRPr="006004F0">
        <w:rPr>
          <w:rFonts w:ascii="Arial" w:hAnsi="Arial" w:cs="Arial"/>
          <w:color w:val="000000"/>
          <w:sz w:val="24"/>
          <w:szCs w:val="24"/>
        </w:rPr>
        <w:t>poskytovatel</w:t>
      </w:r>
      <w:r w:rsidR="00B43438">
        <w:rPr>
          <w:rFonts w:ascii="Arial" w:hAnsi="Arial" w:cs="Arial"/>
          <w:color w:val="000000"/>
          <w:sz w:val="24"/>
          <w:szCs w:val="24"/>
        </w:rPr>
        <w:t>i</w:t>
      </w:r>
      <w:r w:rsidR="006004F0" w:rsidRPr="006004F0">
        <w:rPr>
          <w:rFonts w:ascii="Arial" w:hAnsi="Arial" w:cs="Arial"/>
          <w:color w:val="000000"/>
          <w:sz w:val="24"/>
          <w:szCs w:val="24"/>
        </w:rPr>
        <w:t xml:space="preserve"> sociálních služeb</w:t>
      </w:r>
      <w:r w:rsidR="00B43438">
        <w:rPr>
          <w:rFonts w:ascii="Arial" w:hAnsi="Arial" w:cs="Arial"/>
          <w:color w:val="000000"/>
          <w:sz w:val="24"/>
          <w:szCs w:val="24"/>
        </w:rPr>
        <w:t xml:space="preserve">, jimž se zvyšují náklady. 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>Zvyšuj</w:t>
      </w:r>
      <w:r w:rsidR="00124133">
        <w:rPr>
          <w:rFonts w:ascii="Arial" w:hAnsi="Arial" w:cs="Arial"/>
          <w:color w:val="000000"/>
          <w:sz w:val="24"/>
          <w:szCs w:val="24"/>
        </w:rPr>
        <w:t>e se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 xml:space="preserve"> </w:t>
      </w:r>
      <w:r w:rsidR="00B43438">
        <w:rPr>
          <w:rFonts w:ascii="Arial" w:hAnsi="Arial" w:cs="Arial"/>
          <w:color w:val="000000"/>
          <w:sz w:val="24"/>
          <w:szCs w:val="24"/>
        </w:rPr>
        <w:t xml:space="preserve">tak </w:t>
      </w:r>
      <w:r w:rsidR="00124133">
        <w:rPr>
          <w:rFonts w:ascii="Arial" w:hAnsi="Arial" w:cs="Arial"/>
          <w:color w:val="000000"/>
          <w:sz w:val="24"/>
          <w:szCs w:val="24"/>
        </w:rPr>
        <w:t>horní hranice cen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 xml:space="preserve"> za ubytování a stravu v sociálních zaříz</w:t>
      </w:r>
      <w:r w:rsidR="00270B8B">
        <w:rPr>
          <w:rFonts w:ascii="Arial" w:hAnsi="Arial" w:cs="Arial"/>
          <w:color w:val="000000"/>
          <w:sz w:val="24"/>
          <w:szCs w:val="24"/>
        </w:rPr>
        <w:t>eních,</w:t>
      </w:r>
      <w:r w:rsidR="007B7A9E">
        <w:rPr>
          <w:rFonts w:ascii="Arial" w:hAnsi="Arial" w:cs="Arial"/>
          <w:color w:val="000000"/>
          <w:sz w:val="24"/>
          <w:szCs w:val="24"/>
        </w:rPr>
        <w:t xml:space="preserve"> dále </w:t>
      </w:r>
      <w:r w:rsidR="00270B8B">
        <w:rPr>
          <w:rFonts w:ascii="Arial" w:hAnsi="Arial" w:cs="Arial"/>
          <w:color w:val="000000"/>
          <w:sz w:val="24"/>
          <w:szCs w:val="24"/>
        </w:rPr>
        <w:t>za donášku jídla</w:t>
      </w:r>
      <w:r w:rsidR="007B7A9E">
        <w:rPr>
          <w:rFonts w:ascii="Arial" w:hAnsi="Arial" w:cs="Arial"/>
          <w:color w:val="000000"/>
          <w:sz w:val="24"/>
          <w:szCs w:val="24"/>
        </w:rPr>
        <w:t xml:space="preserve"> ze 40 na 50 Kč</w:t>
      </w:r>
      <w:r w:rsidR="00270B8B">
        <w:rPr>
          <w:rFonts w:ascii="Arial" w:hAnsi="Arial" w:cs="Arial"/>
          <w:color w:val="000000"/>
          <w:sz w:val="24"/>
          <w:szCs w:val="24"/>
        </w:rPr>
        <w:t xml:space="preserve">, </w:t>
      </w:r>
      <w:r w:rsidR="007B7A9E">
        <w:rPr>
          <w:rFonts w:ascii="Arial" w:hAnsi="Arial" w:cs="Arial"/>
          <w:color w:val="000000"/>
          <w:sz w:val="24"/>
          <w:szCs w:val="24"/>
        </w:rPr>
        <w:t xml:space="preserve">za </w:t>
      </w:r>
      <w:r w:rsidR="00270B8B">
        <w:rPr>
          <w:rFonts w:ascii="Arial" w:hAnsi="Arial" w:cs="Arial"/>
          <w:color w:val="000000"/>
          <w:sz w:val="24"/>
          <w:szCs w:val="24"/>
        </w:rPr>
        <w:t>velký nákup</w:t>
      </w:r>
      <w:r w:rsidR="007B7A9E">
        <w:rPr>
          <w:rFonts w:ascii="Arial" w:hAnsi="Arial" w:cs="Arial"/>
          <w:color w:val="000000"/>
          <w:sz w:val="24"/>
          <w:szCs w:val="24"/>
        </w:rPr>
        <w:t xml:space="preserve"> ze 140 na 160 Kč</w:t>
      </w:r>
      <w:r w:rsidR="00270B8B">
        <w:rPr>
          <w:rFonts w:ascii="Arial" w:hAnsi="Arial" w:cs="Arial"/>
          <w:color w:val="000000"/>
          <w:sz w:val="24"/>
          <w:szCs w:val="24"/>
        </w:rPr>
        <w:t xml:space="preserve">, </w:t>
      </w:r>
      <w:r w:rsidR="007B7A9E">
        <w:rPr>
          <w:rFonts w:ascii="Arial" w:hAnsi="Arial" w:cs="Arial"/>
          <w:color w:val="000000"/>
          <w:sz w:val="24"/>
          <w:szCs w:val="24"/>
        </w:rPr>
        <w:t xml:space="preserve">za 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 xml:space="preserve">praní </w:t>
      </w:r>
      <w:r w:rsidR="007B7A9E">
        <w:rPr>
          <w:rFonts w:ascii="Arial" w:hAnsi="Arial" w:cs="Arial"/>
          <w:color w:val="000000"/>
          <w:sz w:val="24"/>
          <w:szCs w:val="24"/>
        </w:rPr>
        <w:t xml:space="preserve">a žehlení 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 xml:space="preserve">prádla </w:t>
      </w:r>
      <w:r w:rsidR="007B7A9E">
        <w:rPr>
          <w:rFonts w:ascii="Arial" w:hAnsi="Arial" w:cs="Arial"/>
          <w:color w:val="000000"/>
          <w:sz w:val="24"/>
          <w:szCs w:val="24"/>
        </w:rPr>
        <w:t xml:space="preserve">z 80 na 90 Kč za 1 kg. </w:t>
      </w:r>
      <w:r w:rsidR="00270B8B">
        <w:rPr>
          <w:rFonts w:ascii="Arial" w:hAnsi="Arial" w:cs="Arial"/>
          <w:color w:val="000000"/>
          <w:sz w:val="24"/>
          <w:szCs w:val="24"/>
        </w:rPr>
        <w:t>Z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 xml:space="preserve">vyšuje </w:t>
      </w:r>
      <w:r w:rsidR="00270B8B">
        <w:rPr>
          <w:rFonts w:ascii="Arial" w:hAnsi="Arial" w:cs="Arial"/>
          <w:color w:val="000000"/>
          <w:sz w:val="24"/>
          <w:szCs w:val="24"/>
        </w:rPr>
        <w:t xml:space="preserve">se 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>i maximální cena za terénní sociální služby, jako j</w:t>
      </w:r>
      <w:r w:rsidR="00270B8B">
        <w:rPr>
          <w:rFonts w:ascii="Arial" w:hAnsi="Arial" w:cs="Arial"/>
          <w:color w:val="000000"/>
          <w:sz w:val="24"/>
          <w:szCs w:val="24"/>
        </w:rPr>
        <w:t xml:space="preserve">e </w:t>
      </w:r>
      <w:r w:rsidR="00B43438">
        <w:rPr>
          <w:rFonts w:ascii="Arial" w:hAnsi="Arial" w:cs="Arial"/>
          <w:color w:val="000000"/>
          <w:sz w:val="24"/>
          <w:szCs w:val="24"/>
        </w:rPr>
        <w:t xml:space="preserve">například </w:t>
      </w:r>
      <w:r w:rsidR="00270B8B">
        <w:rPr>
          <w:rFonts w:ascii="Arial" w:hAnsi="Arial" w:cs="Arial"/>
          <w:color w:val="000000"/>
          <w:sz w:val="24"/>
          <w:szCs w:val="24"/>
        </w:rPr>
        <w:t xml:space="preserve">osobní asistence, 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>pečovatelská slu</w:t>
      </w:r>
      <w:r w:rsidR="00270B8B">
        <w:rPr>
          <w:rFonts w:ascii="Arial" w:hAnsi="Arial" w:cs="Arial"/>
          <w:color w:val="000000"/>
          <w:sz w:val="24"/>
          <w:szCs w:val="24"/>
        </w:rPr>
        <w:t>žba, odlehčovací služba</w:t>
      </w:r>
      <w:r w:rsidR="00124133">
        <w:rPr>
          <w:rFonts w:ascii="Arial" w:hAnsi="Arial" w:cs="Arial"/>
          <w:color w:val="000000"/>
          <w:sz w:val="24"/>
          <w:szCs w:val="24"/>
        </w:rPr>
        <w:t>, průvodcovská a předčitatelská služba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 xml:space="preserve">. </w:t>
      </w:r>
      <w:r w:rsidR="00270B8B">
        <w:rPr>
          <w:rFonts w:ascii="Arial" w:hAnsi="Arial" w:cs="Arial"/>
          <w:color w:val="000000"/>
          <w:sz w:val="24"/>
          <w:szCs w:val="24"/>
        </w:rPr>
        <w:t xml:space="preserve">U klientů, kteří </w:t>
      </w:r>
      <w:r w:rsidR="00DB28CE">
        <w:rPr>
          <w:rFonts w:ascii="Arial" w:hAnsi="Arial" w:cs="Arial"/>
          <w:color w:val="000000"/>
          <w:sz w:val="24"/>
          <w:szCs w:val="24"/>
        </w:rPr>
        <w:t xml:space="preserve">potřebují méně 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 xml:space="preserve">než 80 hodin </w:t>
      </w:r>
      <w:r w:rsidR="00270B8B">
        <w:rPr>
          <w:rFonts w:ascii="Arial" w:hAnsi="Arial" w:cs="Arial"/>
          <w:color w:val="000000"/>
          <w:sz w:val="24"/>
          <w:szCs w:val="24"/>
        </w:rPr>
        <w:t>měsíčně</w:t>
      </w:r>
      <w:r w:rsidR="00A267E8">
        <w:rPr>
          <w:rFonts w:ascii="Arial" w:hAnsi="Arial" w:cs="Arial"/>
          <w:color w:val="000000"/>
          <w:sz w:val="24"/>
          <w:szCs w:val="24"/>
        </w:rPr>
        <w:t>,</w:t>
      </w:r>
      <w:r w:rsidR="00270B8B">
        <w:rPr>
          <w:rFonts w:ascii="Arial" w:hAnsi="Arial" w:cs="Arial"/>
          <w:color w:val="000000"/>
          <w:sz w:val="24"/>
          <w:szCs w:val="24"/>
        </w:rPr>
        <w:t xml:space="preserve"> se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 xml:space="preserve"> </w:t>
      </w:r>
      <w:r w:rsidR="00270B8B">
        <w:rPr>
          <w:rFonts w:ascii="Arial" w:hAnsi="Arial" w:cs="Arial"/>
          <w:color w:val="000000"/>
          <w:sz w:val="24"/>
          <w:szCs w:val="24"/>
        </w:rPr>
        <w:t xml:space="preserve">maximální cena 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>zvyšuje z</w:t>
      </w:r>
      <w:r w:rsidR="00762033">
        <w:rPr>
          <w:rFonts w:ascii="Arial" w:hAnsi="Arial" w:cs="Arial"/>
          <w:color w:val="000000"/>
          <w:sz w:val="24"/>
          <w:szCs w:val="24"/>
        </w:rPr>
        <w:t>e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 xml:space="preserve"> 135</w:t>
      </w:r>
      <w:r w:rsidR="00762033">
        <w:rPr>
          <w:rFonts w:ascii="Arial" w:hAnsi="Arial" w:cs="Arial"/>
          <w:color w:val="000000"/>
          <w:sz w:val="24"/>
          <w:szCs w:val="24"/>
        </w:rPr>
        <w:t xml:space="preserve"> korun na 155 Kč za hodinu. 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 xml:space="preserve">U klientů, kteří </w:t>
      </w:r>
      <w:r w:rsidR="00AB7751">
        <w:rPr>
          <w:rFonts w:ascii="Arial" w:hAnsi="Arial" w:cs="Arial"/>
          <w:color w:val="000000"/>
          <w:sz w:val="24"/>
          <w:szCs w:val="24"/>
        </w:rPr>
        <w:t>těchto služeb čerpají</w:t>
      </w:r>
      <w:r w:rsidR="00124133">
        <w:rPr>
          <w:rFonts w:ascii="Arial" w:hAnsi="Arial" w:cs="Arial"/>
          <w:color w:val="000000"/>
          <w:sz w:val="24"/>
          <w:szCs w:val="24"/>
        </w:rPr>
        <w:t xml:space="preserve"> 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>více než 80 hodin</w:t>
      </w:r>
      <w:r w:rsidR="00762033">
        <w:rPr>
          <w:rFonts w:ascii="Arial" w:hAnsi="Arial" w:cs="Arial"/>
          <w:color w:val="000000"/>
          <w:sz w:val="24"/>
          <w:szCs w:val="24"/>
        </w:rPr>
        <w:t xml:space="preserve"> měsíčně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>, zůstává maximální cena</w:t>
      </w:r>
      <w:r w:rsidR="00762033">
        <w:rPr>
          <w:rFonts w:ascii="Arial" w:hAnsi="Arial" w:cs="Arial"/>
          <w:color w:val="000000"/>
          <w:sz w:val="24"/>
          <w:szCs w:val="24"/>
        </w:rPr>
        <w:t xml:space="preserve"> za hodinu služby na </w:t>
      </w:r>
      <w:r w:rsidR="00270B8B" w:rsidRPr="00270B8B">
        <w:rPr>
          <w:rFonts w:ascii="Arial" w:hAnsi="Arial" w:cs="Arial"/>
          <w:color w:val="000000"/>
          <w:sz w:val="24"/>
          <w:szCs w:val="24"/>
        </w:rPr>
        <w:t>135</w:t>
      </w:r>
      <w:r w:rsidR="00762033">
        <w:rPr>
          <w:rFonts w:ascii="Arial" w:hAnsi="Arial" w:cs="Arial"/>
          <w:color w:val="000000"/>
          <w:sz w:val="24"/>
          <w:szCs w:val="24"/>
        </w:rPr>
        <w:t xml:space="preserve"> Kč. </w:t>
      </w:r>
      <w:r w:rsidR="004650C4">
        <w:rPr>
          <w:rFonts w:ascii="Arial" w:hAnsi="Arial" w:cs="Arial"/>
          <w:color w:val="000000"/>
          <w:sz w:val="24"/>
          <w:szCs w:val="24"/>
        </w:rPr>
        <w:t xml:space="preserve">Zvýšení ceny </w:t>
      </w:r>
      <w:r w:rsidR="00B43438">
        <w:rPr>
          <w:rFonts w:ascii="Arial" w:hAnsi="Arial" w:cs="Arial"/>
          <w:color w:val="000000"/>
          <w:sz w:val="24"/>
          <w:szCs w:val="24"/>
        </w:rPr>
        <w:t xml:space="preserve">pochopitelně </w:t>
      </w:r>
      <w:r w:rsidR="00124133">
        <w:rPr>
          <w:rFonts w:ascii="Arial" w:hAnsi="Arial" w:cs="Arial"/>
          <w:color w:val="000000"/>
          <w:sz w:val="24"/>
          <w:szCs w:val="24"/>
        </w:rPr>
        <w:t>není povinnost</w:t>
      </w:r>
      <w:r w:rsidR="00124133">
        <w:rPr>
          <w:rFonts w:ascii="Arial" w:hAnsi="Arial" w:cs="Arial"/>
          <w:sz w:val="24"/>
          <w:szCs w:val="24"/>
        </w:rPr>
        <w:t xml:space="preserve">, </w:t>
      </w:r>
      <w:r w:rsidR="004650C4">
        <w:rPr>
          <w:rFonts w:ascii="Arial" w:hAnsi="Arial" w:cs="Arial"/>
          <w:color w:val="000000"/>
          <w:sz w:val="24"/>
          <w:szCs w:val="24"/>
        </w:rPr>
        <w:t xml:space="preserve">takže v praxi </w:t>
      </w:r>
      <w:r w:rsidR="00762033" w:rsidRPr="00762033">
        <w:rPr>
          <w:rFonts w:ascii="Arial" w:hAnsi="Arial" w:cs="Arial"/>
          <w:color w:val="000000"/>
          <w:sz w:val="24"/>
          <w:szCs w:val="24"/>
        </w:rPr>
        <w:t xml:space="preserve">každý poskytovatel sociálních služeb </w:t>
      </w:r>
      <w:r w:rsidR="004650C4">
        <w:rPr>
          <w:rFonts w:ascii="Arial" w:hAnsi="Arial" w:cs="Arial"/>
          <w:color w:val="000000"/>
          <w:sz w:val="24"/>
          <w:szCs w:val="24"/>
        </w:rPr>
        <w:t xml:space="preserve">nezvýší ceny </w:t>
      </w:r>
      <w:r w:rsidR="00124133">
        <w:rPr>
          <w:rFonts w:ascii="Arial" w:hAnsi="Arial" w:cs="Arial"/>
          <w:color w:val="000000"/>
          <w:sz w:val="24"/>
          <w:szCs w:val="24"/>
        </w:rPr>
        <w:t xml:space="preserve">okamžitě </w:t>
      </w:r>
      <w:r w:rsidR="00762033" w:rsidRPr="00762033">
        <w:rPr>
          <w:rFonts w:ascii="Arial" w:hAnsi="Arial" w:cs="Arial"/>
          <w:color w:val="000000"/>
          <w:sz w:val="24"/>
          <w:szCs w:val="24"/>
        </w:rPr>
        <w:t xml:space="preserve">od </w:t>
      </w:r>
      <w:r w:rsidR="00856BCF">
        <w:rPr>
          <w:rFonts w:ascii="Arial" w:hAnsi="Arial" w:cs="Arial"/>
          <w:color w:val="000000"/>
          <w:sz w:val="24"/>
          <w:szCs w:val="24"/>
        </w:rPr>
        <w:t xml:space="preserve">1. ledna 2023 </w:t>
      </w:r>
      <w:r w:rsidR="00762033" w:rsidRPr="00762033">
        <w:rPr>
          <w:rFonts w:ascii="Arial" w:hAnsi="Arial" w:cs="Arial"/>
          <w:color w:val="000000"/>
          <w:sz w:val="24"/>
          <w:szCs w:val="24"/>
        </w:rPr>
        <w:t xml:space="preserve">na </w:t>
      </w:r>
      <w:r w:rsidR="00B43438">
        <w:rPr>
          <w:rFonts w:ascii="Arial" w:hAnsi="Arial" w:cs="Arial"/>
          <w:color w:val="000000"/>
          <w:sz w:val="24"/>
          <w:szCs w:val="24"/>
        </w:rPr>
        <w:t>nov</w:t>
      </w:r>
      <w:r w:rsidR="004650C4">
        <w:rPr>
          <w:rFonts w:ascii="Arial" w:hAnsi="Arial" w:cs="Arial"/>
          <w:color w:val="000000"/>
          <w:sz w:val="24"/>
          <w:szCs w:val="24"/>
        </w:rPr>
        <w:t xml:space="preserve">é maximum. </w:t>
      </w:r>
      <w:r w:rsidR="000304FA">
        <w:rPr>
          <w:rFonts w:ascii="Arial" w:hAnsi="Arial" w:cs="Arial"/>
          <w:sz w:val="24"/>
          <w:szCs w:val="24"/>
        </w:rPr>
        <w:t xml:space="preserve">Srovnání změn </w:t>
      </w:r>
      <w:r w:rsidR="006622FC">
        <w:rPr>
          <w:rFonts w:ascii="Arial" w:hAnsi="Arial" w:cs="Arial"/>
          <w:sz w:val="24"/>
          <w:szCs w:val="24"/>
        </w:rPr>
        <w:t xml:space="preserve">je </w:t>
      </w:r>
      <w:r w:rsidR="00450D2C">
        <w:rPr>
          <w:rFonts w:ascii="Arial" w:hAnsi="Arial" w:cs="Arial"/>
          <w:sz w:val="24"/>
          <w:szCs w:val="24"/>
        </w:rPr>
        <w:t>v</w:t>
      </w:r>
      <w:r w:rsidR="00985930">
        <w:rPr>
          <w:rFonts w:ascii="Arial" w:hAnsi="Arial" w:cs="Arial"/>
          <w:sz w:val="24"/>
          <w:szCs w:val="24"/>
        </w:rPr>
        <w:t xml:space="preserve"> tabulce. </w:t>
      </w:r>
    </w:p>
    <w:p w:rsidR="00111540" w:rsidRPr="00111540" w:rsidRDefault="00111540" w:rsidP="00111540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cs-CZ" w:bidi="cs-CZ"/>
        </w:rPr>
      </w:pPr>
      <w:r w:rsidRPr="00111540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cs-CZ" w:bidi="cs-CZ"/>
        </w:rPr>
        <w:t>Maximální ceny za sociální služby v roce 2022 a 2023 v Kč</w:t>
      </w:r>
    </w:p>
    <w:tbl>
      <w:tblPr>
        <w:tblOverlap w:val="never"/>
        <w:tblW w:w="10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669"/>
        <w:gridCol w:w="669"/>
        <w:gridCol w:w="674"/>
        <w:gridCol w:w="572"/>
        <w:gridCol w:w="1276"/>
        <w:gridCol w:w="1275"/>
        <w:gridCol w:w="993"/>
        <w:gridCol w:w="1134"/>
        <w:gridCol w:w="1128"/>
      </w:tblGrid>
      <w:tr w:rsidR="00111540" w:rsidRPr="00111540" w:rsidTr="006F684B">
        <w:trPr>
          <w:trHeight w:val="131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 xml:space="preserve">  Strava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 xml:space="preserve">  Ubytování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 xml:space="preserve">Osobní asistence, průvodcovské a předčitatelské služby a další podpora </w:t>
            </w:r>
          </w:p>
        </w:tc>
      </w:tr>
      <w:tr w:rsidR="00111540" w:rsidRPr="00111540" w:rsidTr="006F684B">
        <w:trPr>
          <w:trHeight w:val="35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 xml:space="preserve">      2022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 xml:space="preserve">     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 xml:space="preserve">    2022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 xml:space="preserve">     2023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 xml:space="preserve">   2022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 xml:space="preserve">              2023  </w:t>
            </w:r>
          </w:p>
        </w:tc>
      </w:tr>
      <w:tr w:rsidR="00111540" w:rsidRPr="00111540" w:rsidTr="006F684B">
        <w:trPr>
          <w:trHeight w:val="113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textDirection w:val="btLr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>celodenní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textDirection w:val="btLr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>oběd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textDirection w:val="btLr"/>
            <w:vAlign w:val="center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>celodenní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textDirection w:val="btLr"/>
            <w:vAlign w:val="bottom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>oběd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>Méně než 80 hodin měsíčně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111540" w:rsidRPr="00013BED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 xml:space="preserve"> Více </w:t>
            </w:r>
            <w:proofErr w:type="gramStart"/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>než    80</w:t>
            </w:r>
            <w:proofErr w:type="gramEnd"/>
            <w:r w:rsidRPr="00013BED">
              <w:rPr>
                <w:rFonts w:ascii="Microsoft Sans Serif" w:eastAsia="Microsoft Sans Serif" w:hAnsi="Microsoft Sans Serif" w:cs="Microsoft Sans Serif"/>
                <w:b/>
                <w:color w:val="FFFFFF" w:themeColor="background1"/>
                <w:sz w:val="24"/>
                <w:szCs w:val="24"/>
                <w:lang w:eastAsia="cs-CZ" w:bidi="cs-CZ"/>
              </w:rPr>
              <w:t xml:space="preserve"> hodin    měsíčně</w:t>
            </w:r>
          </w:p>
        </w:tc>
      </w:tr>
      <w:tr w:rsidR="00111540" w:rsidRPr="00111540" w:rsidTr="006F684B">
        <w:trPr>
          <w:trHeight w:val="74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Služby sociální prevence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205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den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95 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oběd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235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den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105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oběd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135</w:t>
            </w:r>
            <w:r w:rsidR="00C84395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</w:t>
            </w: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/1h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155</w:t>
            </w:r>
            <w:r w:rsidR="00C84395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</w:t>
            </w: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/1h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135</w:t>
            </w:r>
            <w:r w:rsidR="00C84395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</w:t>
            </w: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/1h</w:t>
            </w:r>
          </w:p>
        </w:tc>
      </w:tr>
      <w:tr w:rsidR="00111540" w:rsidRPr="00111540" w:rsidTr="006F684B">
        <w:trPr>
          <w:trHeight w:val="98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Azylové domy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205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den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95 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oběd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235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den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105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oběd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150 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(u rodin120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proofErr w:type="gramStart"/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dospělý,           </w:t>
            </w:r>
            <w:r w:rsidR="008F5A54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          </w:t>
            </w: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80</w:t>
            </w:r>
            <w:proofErr w:type="gramEnd"/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dítě)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170 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(u rodin140   </w:t>
            </w:r>
            <w:r w:rsidR="008F5A54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  </w:t>
            </w: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dospělý, 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90 dítě)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</w:p>
        </w:tc>
      </w:tr>
      <w:tr w:rsidR="00111540" w:rsidRPr="00111540" w:rsidTr="006F684B">
        <w:trPr>
          <w:trHeight w:val="49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Dům na půl cesty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 X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 X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    X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</w:p>
        </w:tc>
      </w:tr>
      <w:tr w:rsidR="00111540" w:rsidRPr="00111540" w:rsidTr="006F684B">
        <w:trPr>
          <w:trHeight w:val="9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Služby následné péče a terapeutické komunity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205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den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95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oběd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235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den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105</w:t>
            </w:r>
          </w:p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>oběd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 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  <w:t xml:space="preserve">  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1540" w:rsidRPr="00111540" w:rsidRDefault="00111540" w:rsidP="00111540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cs-CZ" w:bidi="cs-CZ"/>
              </w:rPr>
            </w:pPr>
          </w:p>
        </w:tc>
      </w:tr>
    </w:tbl>
    <w:p w:rsidR="00613B5F" w:rsidRDefault="00613B5F" w:rsidP="00AE411E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cs-CZ" w:bidi="cs-CZ"/>
        </w:rPr>
      </w:pPr>
    </w:p>
    <w:p w:rsidR="00E25AFF" w:rsidRPr="00111540" w:rsidRDefault="00CA79FE" w:rsidP="00E25AFF">
      <w:pPr>
        <w:pStyle w:val="Default"/>
        <w:rPr>
          <w:b/>
          <w:bCs/>
        </w:rPr>
      </w:pPr>
      <w:r w:rsidRPr="00111540">
        <w:rPr>
          <w:b/>
          <w:bCs/>
        </w:rPr>
        <w:t xml:space="preserve">Maximální </w:t>
      </w:r>
      <w:r w:rsidR="0073409D" w:rsidRPr="00111540">
        <w:rPr>
          <w:b/>
          <w:bCs/>
        </w:rPr>
        <w:t xml:space="preserve">ceny </w:t>
      </w:r>
      <w:r w:rsidR="00590446" w:rsidRPr="00111540">
        <w:rPr>
          <w:b/>
          <w:bCs/>
        </w:rPr>
        <w:t>za jiné</w:t>
      </w:r>
      <w:r w:rsidR="0073409D" w:rsidRPr="00111540">
        <w:rPr>
          <w:b/>
          <w:bCs/>
        </w:rPr>
        <w:t xml:space="preserve"> úkon</w:t>
      </w:r>
      <w:r w:rsidR="00590446" w:rsidRPr="00111540">
        <w:rPr>
          <w:b/>
          <w:bCs/>
        </w:rPr>
        <w:t>y</w:t>
      </w:r>
      <w:r w:rsidR="0073409D" w:rsidRPr="00111540">
        <w:rPr>
          <w:b/>
          <w:bCs/>
        </w:rPr>
        <w:t xml:space="preserve"> </w:t>
      </w:r>
      <w:r w:rsidR="007D0A89" w:rsidRPr="00111540">
        <w:rPr>
          <w:b/>
          <w:bCs/>
        </w:rPr>
        <w:t xml:space="preserve">v </w:t>
      </w:r>
      <w:r w:rsidR="00E25AFF" w:rsidRPr="00111540">
        <w:rPr>
          <w:b/>
          <w:bCs/>
        </w:rPr>
        <w:t>pečovatelsk</w:t>
      </w:r>
      <w:r w:rsidR="0073409D" w:rsidRPr="00111540">
        <w:rPr>
          <w:b/>
          <w:bCs/>
        </w:rPr>
        <w:t xml:space="preserve">é </w:t>
      </w:r>
      <w:r w:rsidR="00E25AFF" w:rsidRPr="00111540">
        <w:rPr>
          <w:b/>
          <w:bCs/>
        </w:rPr>
        <w:t>služb</w:t>
      </w:r>
      <w:r w:rsidR="007D0A89" w:rsidRPr="00111540">
        <w:rPr>
          <w:b/>
          <w:bCs/>
        </w:rPr>
        <w:t>ě</w:t>
      </w:r>
      <w:r w:rsidR="00247B12" w:rsidRPr="00111540">
        <w:rPr>
          <w:b/>
          <w:bCs/>
        </w:rPr>
        <w:t xml:space="preserve"> </w:t>
      </w:r>
      <w:r w:rsidR="008B2BB4" w:rsidRPr="00111540">
        <w:rPr>
          <w:b/>
          <w:bCs/>
        </w:rPr>
        <w:t xml:space="preserve">v roce 2022 a 2023 </w:t>
      </w:r>
      <w:r w:rsidR="00247B12" w:rsidRPr="00111540">
        <w:rPr>
          <w:b/>
          <w:bCs/>
        </w:rPr>
        <w:t>v Kč</w:t>
      </w:r>
    </w:p>
    <w:tbl>
      <w:tblPr>
        <w:tblOverlap w:val="never"/>
        <w:tblW w:w="10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2493"/>
        <w:gridCol w:w="3056"/>
      </w:tblGrid>
      <w:tr w:rsidR="00E25AFF" w:rsidRPr="00111540" w:rsidTr="00A7688F">
        <w:trPr>
          <w:trHeight w:val="37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center"/>
          </w:tcPr>
          <w:p w:rsidR="00E25AFF" w:rsidRPr="00013BED" w:rsidRDefault="00E25AFF" w:rsidP="00E25AFF">
            <w:pPr>
              <w:widowControl w:val="0"/>
              <w:shd w:val="clear" w:color="auto" w:fill="4F81BC"/>
              <w:spacing w:after="0" w:line="240" w:lineRule="auto"/>
              <w:rPr>
                <w:rFonts w:ascii="Arial" w:eastAsia="Microsoft Sans Serif" w:hAnsi="Arial" w:cs="Arial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Arial" w:eastAsia="Microsoft Sans Serif" w:hAnsi="Arial" w:cs="Arial"/>
                <w:b/>
                <w:color w:val="FFFFFF" w:themeColor="background1"/>
                <w:sz w:val="24"/>
                <w:szCs w:val="24"/>
                <w:lang w:eastAsia="cs-CZ" w:bidi="cs-CZ"/>
              </w:rPr>
              <w:t>Úkon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E25AFF" w:rsidRPr="00013BED" w:rsidRDefault="00450D2C" w:rsidP="00247B12">
            <w:pPr>
              <w:widowControl w:val="0"/>
              <w:shd w:val="clear" w:color="auto" w:fill="4F81BC"/>
              <w:spacing w:after="0" w:line="240" w:lineRule="auto"/>
              <w:rPr>
                <w:rFonts w:ascii="Arial" w:eastAsia="Microsoft Sans Serif" w:hAnsi="Arial" w:cs="Arial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Arial" w:eastAsia="Microsoft Sans Serif" w:hAnsi="Arial" w:cs="Arial"/>
                <w:b/>
                <w:color w:val="FFFFFF" w:themeColor="background1"/>
                <w:sz w:val="24"/>
                <w:szCs w:val="24"/>
                <w:lang w:eastAsia="cs-CZ" w:bidi="cs-CZ"/>
              </w:rPr>
              <w:t>2022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C"/>
            <w:vAlign w:val="bottom"/>
          </w:tcPr>
          <w:p w:rsidR="00E25AFF" w:rsidRPr="00013BED" w:rsidRDefault="00450D2C" w:rsidP="00247B12">
            <w:pPr>
              <w:widowControl w:val="0"/>
              <w:shd w:val="clear" w:color="auto" w:fill="4F81BC"/>
              <w:spacing w:after="0" w:line="240" w:lineRule="auto"/>
              <w:rPr>
                <w:rFonts w:ascii="Arial" w:eastAsia="Microsoft Sans Serif" w:hAnsi="Arial" w:cs="Arial"/>
                <w:b/>
                <w:color w:val="FFFFFF" w:themeColor="background1"/>
                <w:sz w:val="24"/>
                <w:szCs w:val="24"/>
                <w:lang w:eastAsia="cs-CZ" w:bidi="cs-CZ"/>
              </w:rPr>
            </w:pPr>
            <w:r w:rsidRPr="00013BED">
              <w:rPr>
                <w:rFonts w:ascii="Arial" w:eastAsia="Microsoft Sans Serif" w:hAnsi="Arial" w:cs="Arial"/>
                <w:b/>
                <w:color w:val="FFFFFF" w:themeColor="background1"/>
                <w:sz w:val="24"/>
                <w:szCs w:val="24"/>
                <w:lang w:eastAsia="cs-CZ" w:bidi="cs-CZ"/>
              </w:rPr>
              <w:t>2023</w:t>
            </w:r>
            <w:r w:rsidR="00E25AFF" w:rsidRPr="00013BED">
              <w:rPr>
                <w:rFonts w:ascii="Arial" w:eastAsia="Microsoft Sans Serif" w:hAnsi="Arial" w:cs="Arial"/>
                <w:b/>
                <w:color w:val="FFFFFF" w:themeColor="background1"/>
                <w:sz w:val="24"/>
                <w:szCs w:val="24"/>
                <w:lang w:eastAsia="cs-CZ" w:bidi="cs-CZ"/>
              </w:rPr>
              <w:t xml:space="preserve"> </w:t>
            </w:r>
          </w:p>
        </w:tc>
      </w:tr>
      <w:tr w:rsidR="00E25AFF" w:rsidRPr="00111540" w:rsidTr="00A7688F">
        <w:trPr>
          <w:trHeight w:val="20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5AFF" w:rsidRPr="00111540" w:rsidRDefault="00E25AFF" w:rsidP="00E25AF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  <w:t>Dovoz nebo donáška jídla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5AFF" w:rsidRPr="00111540" w:rsidRDefault="00E25AFF" w:rsidP="00E25AF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  <w:t>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AFF" w:rsidRPr="00111540" w:rsidRDefault="00E25AFF" w:rsidP="00E25AF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  <w:t>50</w:t>
            </w:r>
          </w:p>
        </w:tc>
      </w:tr>
      <w:tr w:rsidR="00E25AFF" w:rsidRPr="00111540" w:rsidTr="00A7688F">
        <w:trPr>
          <w:trHeight w:val="19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E25AFF" w:rsidRPr="00111540" w:rsidRDefault="00E25AFF" w:rsidP="00E25AF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  <w:t>Velký nákup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E25AFF" w:rsidRPr="00111540" w:rsidRDefault="00E25AFF" w:rsidP="00E25AF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  <w:t>140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25AFF" w:rsidRPr="00111540" w:rsidRDefault="00E25AFF" w:rsidP="00E25AF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  <w:t>160</w:t>
            </w:r>
          </w:p>
        </w:tc>
      </w:tr>
      <w:tr w:rsidR="00E25AFF" w:rsidRPr="00111540" w:rsidTr="00A7688F">
        <w:trPr>
          <w:trHeight w:val="20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5AFF" w:rsidRPr="00111540" w:rsidRDefault="00E25AFF" w:rsidP="00E25AFF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  <w:t>Praní a žehlení prádla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5AFF" w:rsidRPr="00111540" w:rsidRDefault="00247B12" w:rsidP="00247B12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  <w:t>80/</w:t>
            </w:r>
            <w:r w:rsidR="00E25AFF" w:rsidRPr="00111540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  <w:t>1 kg</w:t>
            </w:r>
            <w:r w:rsidRPr="00111540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AFF" w:rsidRPr="00111540" w:rsidRDefault="00247B12" w:rsidP="00247B12">
            <w:pPr>
              <w:widowControl w:val="0"/>
              <w:spacing w:after="0" w:line="240" w:lineRule="auto"/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</w:pPr>
            <w:r w:rsidRPr="00111540">
              <w:rPr>
                <w:rFonts w:ascii="Arial" w:eastAsia="Microsoft Sans Serif" w:hAnsi="Arial" w:cs="Arial"/>
                <w:color w:val="000000"/>
                <w:sz w:val="24"/>
                <w:szCs w:val="24"/>
                <w:lang w:eastAsia="cs-CZ" w:bidi="cs-CZ"/>
              </w:rPr>
              <w:t>90/1 kg</w:t>
            </w:r>
          </w:p>
        </w:tc>
      </w:tr>
    </w:tbl>
    <w:p w:rsidR="00E25AFF" w:rsidRPr="00111540" w:rsidRDefault="00E25AFF" w:rsidP="00AB77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7CA3" w:rsidRDefault="00DB28CE">
      <w:pPr>
        <w:jc w:val="both"/>
        <w:rPr>
          <w:rFonts w:ascii="Arial" w:hAnsi="Arial" w:cs="Arial"/>
          <w:bCs/>
          <w:i/>
          <w:sz w:val="24"/>
          <w:szCs w:val="24"/>
        </w:rPr>
      </w:pPr>
      <w:r w:rsidRPr="00DB28CE">
        <w:rPr>
          <w:rFonts w:ascii="Arial" w:hAnsi="Arial" w:cs="Arial"/>
          <w:bCs/>
          <w:i/>
          <w:sz w:val="24"/>
          <w:szCs w:val="24"/>
        </w:rPr>
        <w:t>Za Sociálně-</w:t>
      </w:r>
      <w:r w:rsidR="00A7688F">
        <w:rPr>
          <w:rFonts w:ascii="Arial" w:hAnsi="Arial" w:cs="Arial"/>
          <w:bCs/>
          <w:i/>
          <w:sz w:val="24"/>
          <w:szCs w:val="24"/>
        </w:rPr>
        <w:t>právní poradnu Václava Baudišová</w:t>
      </w:r>
    </w:p>
    <w:sectPr w:rsidR="00FE7CA3" w:rsidSect="002D53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19" w:rsidRDefault="00674919" w:rsidP="0050100D">
      <w:pPr>
        <w:spacing w:after="0" w:line="240" w:lineRule="auto"/>
      </w:pPr>
      <w:r>
        <w:separator/>
      </w:r>
    </w:p>
  </w:endnote>
  <w:endnote w:type="continuationSeparator" w:id="0">
    <w:p w:rsidR="00674919" w:rsidRDefault="00674919" w:rsidP="0050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88147"/>
      <w:docPartObj>
        <w:docPartGallery w:val="Page Numbers (Bottom of Page)"/>
        <w:docPartUnique/>
      </w:docPartObj>
    </w:sdtPr>
    <w:sdtEndPr/>
    <w:sdtContent>
      <w:p w:rsidR="006004F0" w:rsidRDefault="006622F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6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04F0" w:rsidRDefault="006004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19" w:rsidRDefault="00674919" w:rsidP="0050100D">
      <w:pPr>
        <w:spacing w:after="0" w:line="240" w:lineRule="auto"/>
      </w:pPr>
      <w:r>
        <w:separator/>
      </w:r>
    </w:p>
  </w:footnote>
  <w:footnote w:type="continuationSeparator" w:id="0">
    <w:p w:rsidR="00674919" w:rsidRDefault="00674919" w:rsidP="0050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3331"/>
    <w:multiLevelType w:val="hybridMultilevel"/>
    <w:tmpl w:val="3BF6BD9C"/>
    <w:lvl w:ilvl="0" w:tplc="10EEE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0C668"/>
    <w:multiLevelType w:val="hybridMultilevel"/>
    <w:tmpl w:val="7CDDA7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B685D93"/>
    <w:multiLevelType w:val="hybridMultilevel"/>
    <w:tmpl w:val="108409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F1DA1"/>
    <w:multiLevelType w:val="hybridMultilevel"/>
    <w:tmpl w:val="5D281B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0"/>
    <w:rsid w:val="00013BED"/>
    <w:rsid w:val="0002511D"/>
    <w:rsid w:val="000304FA"/>
    <w:rsid w:val="000473F0"/>
    <w:rsid w:val="00063623"/>
    <w:rsid w:val="00085AFE"/>
    <w:rsid w:val="000964A1"/>
    <w:rsid w:val="000B71B7"/>
    <w:rsid w:val="000E4EAA"/>
    <w:rsid w:val="000F5D1E"/>
    <w:rsid w:val="00111540"/>
    <w:rsid w:val="00115BB7"/>
    <w:rsid w:val="0011666C"/>
    <w:rsid w:val="00124133"/>
    <w:rsid w:val="00145BF0"/>
    <w:rsid w:val="001803FB"/>
    <w:rsid w:val="001A756B"/>
    <w:rsid w:val="001C6C87"/>
    <w:rsid w:val="001E0DD9"/>
    <w:rsid w:val="001E1562"/>
    <w:rsid w:val="001E626A"/>
    <w:rsid w:val="001E6A0B"/>
    <w:rsid w:val="001F0B2B"/>
    <w:rsid w:val="001F5422"/>
    <w:rsid w:val="00203EE5"/>
    <w:rsid w:val="002051D3"/>
    <w:rsid w:val="00217C30"/>
    <w:rsid w:val="00247B12"/>
    <w:rsid w:val="00247D60"/>
    <w:rsid w:val="00254EBC"/>
    <w:rsid w:val="00270B8B"/>
    <w:rsid w:val="00271D97"/>
    <w:rsid w:val="00295AA4"/>
    <w:rsid w:val="00295E38"/>
    <w:rsid w:val="002C3AAA"/>
    <w:rsid w:val="002D53B6"/>
    <w:rsid w:val="0031796F"/>
    <w:rsid w:val="00330299"/>
    <w:rsid w:val="00331894"/>
    <w:rsid w:val="00353252"/>
    <w:rsid w:val="0035668D"/>
    <w:rsid w:val="0036210E"/>
    <w:rsid w:val="003725F5"/>
    <w:rsid w:val="003737EB"/>
    <w:rsid w:val="00373E49"/>
    <w:rsid w:val="003764B7"/>
    <w:rsid w:val="003A1FAC"/>
    <w:rsid w:val="003D22C2"/>
    <w:rsid w:val="00414991"/>
    <w:rsid w:val="004442FF"/>
    <w:rsid w:val="00450D2C"/>
    <w:rsid w:val="004650C4"/>
    <w:rsid w:val="004653C4"/>
    <w:rsid w:val="00474320"/>
    <w:rsid w:val="004852A6"/>
    <w:rsid w:val="004922EF"/>
    <w:rsid w:val="004D4E4E"/>
    <w:rsid w:val="004E66BA"/>
    <w:rsid w:val="004F2692"/>
    <w:rsid w:val="004F6BB8"/>
    <w:rsid w:val="00500CDB"/>
    <w:rsid w:val="0050100D"/>
    <w:rsid w:val="005055FB"/>
    <w:rsid w:val="0051063C"/>
    <w:rsid w:val="00510699"/>
    <w:rsid w:val="00513194"/>
    <w:rsid w:val="005353DA"/>
    <w:rsid w:val="00536DA9"/>
    <w:rsid w:val="00554B17"/>
    <w:rsid w:val="0058096D"/>
    <w:rsid w:val="005832C8"/>
    <w:rsid w:val="00590446"/>
    <w:rsid w:val="005C3A17"/>
    <w:rsid w:val="005C6D96"/>
    <w:rsid w:val="006004F0"/>
    <w:rsid w:val="00613B5F"/>
    <w:rsid w:val="00626CDE"/>
    <w:rsid w:val="00637B4A"/>
    <w:rsid w:val="00643A79"/>
    <w:rsid w:val="00652672"/>
    <w:rsid w:val="00652D99"/>
    <w:rsid w:val="006622FC"/>
    <w:rsid w:val="006649BF"/>
    <w:rsid w:val="00670E93"/>
    <w:rsid w:val="00674919"/>
    <w:rsid w:val="006B4119"/>
    <w:rsid w:val="006C212F"/>
    <w:rsid w:val="006D32F0"/>
    <w:rsid w:val="006E52F0"/>
    <w:rsid w:val="00706ECA"/>
    <w:rsid w:val="0073409D"/>
    <w:rsid w:val="00762033"/>
    <w:rsid w:val="007747A5"/>
    <w:rsid w:val="0078347F"/>
    <w:rsid w:val="0079190E"/>
    <w:rsid w:val="007B77A3"/>
    <w:rsid w:val="007B7A9E"/>
    <w:rsid w:val="007C1077"/>
    <w:rsid w:val="007D0A89"/>
    <w:rsid w:val="007D450C"/>
    <w:rsid w:val="007E41E1"/>
    <w:rsid w:val="007E4992"/>
    <w:rsid w:val="007F1496"/>
    <w:rsid w:val="00831CF9"/>
    <w:rsid w:val="0083515F"/>
    <w:rsid w:val="00844083"/>
    <w:rsid w:val="00844493"/>
    <w:rsid w:val="00856BCF"/>
    <w:rsid w:val="008570EE"/>
    <w:rsid w:val="008624B5"/>
    <w:rsid w:val="00863236"/>
    <w:rsid w:val="0089495A"/>
    <w:rsid w:val="008B2BB4"/>
    <w:rsid w:val="008B597A"/>
    <w:rsid w:val="008E7ED7"/>
    <w:rsid w:val="008F5729"/>
    <w:rsid w:val="008F5A54"/>
    <w:rsid w:val="009019E1"/>
    <w:rsid w:val="009109B9"/>
    <w:rsid w:val="0091339B"/>
    <w:rsid w:val="00914B24"/>
    <w:rsid w:val="00916721"/>
    <w:rsid w:val="009219A9"/>
    <w:rsid w:val="009316C2"/>
    <w:rsid w:val="00947951"/>
    <w:rsid w:val="00963EB8"/>
    <w:rsid w:val="0096429B"/>
    <w:rsid w:val="00965621"/>
    <w:rsid w:val="00982EBF"/>
    <w:rsid w:val="00985930"/>
    <w:rsid w:val="009B2E55"/>
    <w:rsid w:val="009C4BA9"/>
    <w:rsid w:val="009D1A65"/>
    <w:rsid w:val="009D6F41"/>
    <w:rsid w:val="00A03350"/>
    <w:rsid w:val="00A06EC4"/>
    <w:rsid w:val="00A105B4"/>
    <w:rsid w:val="00A267E8"/>
    <w:rsid w:val="00A7031B"/>
    <w:rsid w:val="00A7688F"/>
    <w:rsid w:val="00A93A55"/>
    <w:rsid w:val="00A975A2"/>
    <w:rsid w:val="00AA246F"/>
    <w:rsid w:val="00AA443B"/>
    <w:rsid w:val="00AA464D"/>
    <w:rsid w:val="00AB7751"/>
    <w:rsid w:val="00AD0B67"/>
    <w:rsid w:val="00AE411E"/>
    <w:rsid w:val="00AF011B"/>
    <w:rsid w:val="00AF24B5"/>
    <w:rsid w:val="00AF525A"/>
    <w:rsid w:val="00B020D4"/>
    <w:rsid w:val="00B15FC1"/>
    <w:rsid w:val="00B17306"/>
    <w:rsid w:val="00B43438"/>
    <w:rsid w:val="00B54BF0"/>
    <w:rsid w:val="00B677D7"/>
    <w:rsid w:val="00B74281"/>
    <w:rsid w:val="00B75D65"/>
    <w:rsid w:val="00B84B10"/>
    <w:rsid w:val="00B86D63"/>
    <w:rsid w:val="00B87AE4"/>
    <w:rsid w:val="00B932B7"/>
    <w:rsid w:val="00BA776A"/>
    <w:rsid w:val="00BF0888"/>
    <w:rsid w:val="00C1675A"/>
    <w:rsid w:val="00C16F29"/>
    <w:rsid w:val="00C410BD"/>
    <w:rsid w:val="00C45800"/>
    <w:rsid w:val="00C76BA3"/>
    <w:rsid w:val="00C84395"/>
    <w:rsid w:val="00C921FB"/>
    <w:rsid w:val="00C936DB"/>
    <w:rsid w:val="00CA79FE"/>
    <w:rsid w:val="00CE2C37"/>
    <w:rsid w:val="00CE3AB8"/>
    <w:rsid w:val="00CF0DCE"/>
    <w:rsid w:val="00CF7061"/>
    <w:rsid w:val="00D05B99"/>
    <w:rsid w:val="00D16659"/>
    <w:rsid w:val="00D31D66"/>
    <w:rsid w:val="00D368D9"/>
    <w:rsid w:val="00D36E69"/>
    <w:rsid w:val="00D47BC1"/>
    <w:rsid w:val="00D672A6"/>
    <w:rsid w:val="00D84264"/>
    <w:rsid w:val="00D8676F"/>
    <w:rsid w:val="00D97D98"/>
    <w:rsid w:val="00DB28CE"/>
    <w:rsid w:val="00DB3781"/>
    <w:rsid w:val="00DB7C74"/>
    <w:rsid w:val="00DE1FE5"/>
    <w:rsid w:val="00DE32FB"/>
    <w:rsid w:val="00E06FBA"/>
    <w:rsid w:val="00E106E7"/>
    <w:rsid w:val="00E120A0"/>
    <w:rsid w:val="00E16825"/>
    <w:rsid w:val="00E16C4B"/>
    <w:rsid w:val="00E25AFF"/>
    <w:rsid w:val="00E44A81"/>
    <w:rsid w:val="00E532A2"/>
    <w:rsid w:val="00E64371"/>
    <w:rsid w:val="00E746A8"/>
    <w:rsid w:val="00E75328"/>
    <w:rsid w:val="00EA15B3"/>
    <w:rsid w:val="00EF209E"/>
    <w:rsid w:val="00EF7334"/>
    <w:rsid w:val="00F2071D"/>
    <w:rsid w:val="00F32D19"/>
    <w:rsid w:val="00F37186"/>
    <w:rsid w:val="00F645F9"/>
    <w:rsid w:val="00F64C2A"/>
    <w:rsid w:val="00F7441E"/>
    <w:rsid w:val="00F82A5D"/>
    <w:rsid w:val="00F8427E"/>
    <w:rsid w:val="00F903A9"/>
    <w:rsid w:val="00FA7089"/>
    <w:rsid w:val="00FB7D32"/>
    <w:rsid w:val="00FE7CA3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39FC"/>
  <w15:docId w15:val="{420B665F-E45E-4D55-8321-A4864814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A89"/>
  </w:style>
  <w:style w:type="paragraph" w:styleId="Nadpis1">
    <w:name w:val="heading 1"/>
    <w:basedOn w:val="Normln"/>
    <w:next w:val="Normln"/>
    <w:link w:val="Nadpis1Char"/>
    <w:uiPriority w:val="9"/>
    <w:qFormat/>
    <w:rsid w:val="00536DA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DA9"/>
    <w:rPr>
      <w:rFonts w:ascii="Arial" w:eastAsiaTheme="majorEastAsia" w:hAnsi="Arial" w:cstheme="majorBidi"/>
      <w:b/>
      <w:sz w:val="32"/>
      <w:szCs w:val="32"/>
    </w:rPr>
  </w:style>
  <w:style w:type="paragraph" w:customStyle="1" w:styleId="Default">
    <w:name w:val="Default"/>
    <w:rsid w:val="00063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0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100D"/>
  </w:style>
  <w:style w:type="paragraph" w:styleId="Zpat">
    <w:name w:val="footer"/>
    <w:basedOn w:val="Normln"/>
    <w:link w:val="ZpatChar"/>
    <w:uiPriority w:val="99"/>
    <w:unhideWhenUsed/>
    <w:rsid w:val="0050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00D"/>
  </w:style>
  <w:style w:type="character" w:styleId="Hypertextovodkaz">
    <w:name w:val="Hyperlink"/>
    <w:basedOn w:val="Standardnpsmoodstavce"/>
    <w:uiPriority w:val="99"/>
    <w:unhideWhenUsed/>
    <w:rsid w:val="00626CD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1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AFE"/>
    <w:rPr>
      <w:b/>
      <w:bCs/>
    </w:rPr>
  </w:style>
  <w:style w:type="paragraph" w:styleId="Odstavecseseznamem">
    <w:name w:val="List Paragraph"/>
    <w:basedOn w:val="Normln"/>
    <w:uiPriority w:val="34"/>
    <w:qFormat/>
    <w:rsid w:val="004442F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0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2.cz/osobni/socialni-prispev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tu.cz/tiskova-zprava-povinnost-poskytovat-specialni-koncova-zarizeni-ma-o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E197-9FCF-484D-8071-B07D4D2B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5</Pages>
  <Words>1650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Baudišová</dc:creator>
  <cp:lastModifiedBy>Václava Baudišová</cp:lastModifiedBy>
  <cp:revision>132</cp:revision>
  <dcterms:created xsi:type="dcterms:W3CDTF">2022-12-30T10:45:00Z</dcterms:created>
  <dcterms:modified xsi:type="dcterms:W3CDTF">2023-02-01T14:44:00Z</dcterms:modified>
</cp:coreProperties>
</file>